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TD14.010874 vom 26. September 2014</w:t>
      </w:r>
    </w:p>
    <w:p>
      <w:r>
        <w:t>VD Tribunal cantonal, 2014-09-26, FR</w:t>
      </w:r>
    </w:p>
    <w:p>
      <w:r>
        <w:rPr>
          <w:b/>
        </w:rPr>
        <w:t xml:space="preserve">Quelle: </w:t>
      </w:r>
      <w:r>
        <w:t>https://mcp.opencaselaw.ch/entscheid/vd_gerichte_TD14.010874</w:t>
      </w:r>
    </w:p>
    <w:p>
      <w:r>
        <w:t>FR: VD_GERICHTE TD14.010874 du 26 septembre 2014</w:t>
      </w:r>
    </w:p>
    <w:p>
      <w:r>
        <w:t>IT: VD_GERICHTE TD14.010874 del 26 settembre 2014</w:t>
      </w:r>
    </w:p>
    <w:p>
      <w:pPr>
        <w:pStyle w:val="Heading2"/>
      </w:pPr>
      <w:r>
        <w:t>Erwägungen</w:t>
      </w:r>
    </w:p>
    <w:p>
      <w:r>
        <w:rPr>
          <w:b/>
        </w:rPr>
        <w:t>E. 3</w:t>
      </w:r>
    </w:p>
    <w:p>
      <w:r>
        <w:t>a) Selon l’art. 176 al. 1 ch. 1 CC relatif à l’organisation de la vie séparée des époux, applicable aux mesures provisionnelles ordonnées dans le cadre d’une procédure de divorce par renvoi de l’art. 276 al. 1 CPC, le juge fixe la contribution pécuniaire à verser par l’une des parties à l’autre. De jurisprudence constante,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 2.2 ;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1er novembre 2013 c. 4.1 et les références citées). Le juge doit partir de la convention, expresse ou tacite, que les époux ont conclue au sujet de la répartition des tâches et des ressources entre eux (TF 5A_173/2013 du 4 juillet 2013 c. 4.2). Il doit ensuite prendre en considération qu’en cas de suspension de la vie commune (art. 175 s. CC), le but de l’art. 163 CC, soit</w:t>
      </w:r>
    </w:p>
    <w:p>
      <w:r>
        <w:t>- 12 -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(TF 5A_762/2013 du 27 mars 2014 c. 6.1 et les références citées). Le principe du clean break ne joue aucun rôle dans le cadre des mesures provisionnelles. De même, à lui seul, le fait que l'épouse dispose d'un disponible après couverture de son minimum vital n'est pas décisif non plus (TF 5A_228/2012 du 11 juin 2012 c. 4.3).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b) L’appelant soutient que sa situation s’est stabilisée et que cela justifie une modification de la contribution en cause.</w:t>
      </w:r>
    </w:p>
    <w:p>
      <w:r>
        <w:t>- 13 - Toutefois, il n’est plus contesté que la situation a évolué de manière sensible et durable depuis le prononcé de mesures protectrices de l’union conjugale, ce qu’a admis le premier juge. Or,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 ATF 137 III 604 c. 4.1.2 ; TF 5A_562/2013 du 24 octobre 2013 c. 3.1 ; TF 5A_140/2013 du 28 mai 2013 c. 4.1). Le juge a dès lors à juste titre examiné l’entier de la situation des parties c) L’appelant soutient que la situation financière de l’intimée s’est améliorée et qu’elle a réalisé en 2013 un revenu mensuel de 4'634 fr. 30. Toutefois, le jugement retient, en page 12 que les revenus globaux de l’intimée se sont élevés en moyenne à 4'925 fr. 15. Le moyen est dès lors sans objet. Il y a en outre lieu de retenir qu’en raison d’une formation nécessaire pour la poursuite de son activité professionnelle, l’intimée a dû réduire son taux d’activité à partir du mois d’août 2014 et que ses revenu dès cette date atteignent 1'675 fr. (993.10 + 382.05 + 300). d) L’appelant soutient que les allocations familiales doivent être retranchées du coût d’entretien des enfants. Selon la jurisprudence, les allocations familiales ne doivent en principe pas être retenues dans la capacité contributive du débiteur de la contribution ou du parent gardien, dès lors que ce sont les enfants qui en sont titulaires et qu’il doit en être tenu compte dans la fixation de l’entretien que leur doit le parent débiteur (TF 5A_402/2010 du 10 septembre 2010, Revue de la protection des mineurs et des adultes [RMA] 2010, p. 451). Elles sont cependant retranchées du coût d’entretien de l’enfant et doivent donc être déduites dans le calcul du minimum vital lors de la fixation de la contribution due par le parent non gardien pour</w:t>
      </w:r>
    </w:p>
    <w:p>
      <w:r>
        <w:t>- 14 - l’entretien des siens (ATF 137 III 59 c. 4.2.3 ; TF 5A_386/2012 du 23 juillet 2012 c. 4.2.1 et références ; TF 5A_511/2010 du 4 février 2011 c. 3). Il en va de même des rentes pour enfant versées par l’assurance-vieillesse et survivant, l’assurance-invalidité ou la prévoyance professionnelle (de Luze/Page/Stoudmann, Droit de la famille, 2013, n. 2.1 ad art. 285 CC, p. 509). En l’espèce, les allocations familiales, par 830 fr. doivent être déduites des montants de base pour les trois enfants, par 1'600 fr., de sorte que c’est un solde de 770 fr. qui doit être retenu. e) L’appelant conteste le revenu hypothétique de 10'000 fr. qui lui a été attribué. Lors de la fixation de la contribution d’entretien, le juge doit en principe tenir compte des revenus effectifs du débirentier. Il peut toutefois lui imputer un revenu hypothétique supérieur à celui obtenu effectivement. Il s’agit d’inciter la personne à réaliser le revenu qu’elle est en mesure de se procurer et dont on peut raisonnablement exiger qu’elle l’obtienne afin de remplir ses obligations (ATF 128 III 4 c. 4a p. 5-6; TF 5A_99/2011 du 26 septembre 2011 c. 7.4.1; TF 5A_18/2011 du 1er juin 2011 c. 3.1.1; TF 5A_290/2010 du 28 octobre 2010 c. 3.1).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5A_99/2011 c. 7.4.1; TF 5A_18/2011 c. 3.1.1 ;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w:t>
      </w:r>
    </w:p>
    <w:p>
      <w:r>
        <w:t>- 15 - susmentionnées, ainsi que du marché du travail; il s’agit-là d’une question de fait (ATF 137 III 102 c. 4.2.2.2; ATF 128 III 4 c. 4c/bb). En l’espèce, au vu des comptes de la société Y.________ Sàrl produits en deuxième instance par l’appelant, on ne peut plus retenir que celui-ci est à même de réaliser un revenu net de 10'000 fr. par mois. On ne saurait cependant retenir un salaire de 4'263 fr. 45 net. En effet, il ressort du témoignage I.________ qu’il n’y qu’un autre employé de l’entreprise, payé 7'000 fr. brut par mois, ce qui représente une charge pour l’entreprise de 91'000 fr., celle-ci n’ayant à supporter que la part patronale des cotisations sociales. Or, il ressort des comptes de la société qu’en 2013, les charges de personnel se sont élevées à 243'181 fr. 90, soit un solde de salaires versés de 152'181 fr. 90. En prenant en compte le fait que les deux associés sont salariés de l’entreprise, il en résulte un charge salariale par associé de 6'340 fr. 90 par mois (152'181.90 : 2 personnes : 12 mois), ce qui donne après déduction de la charge patronale, par 11,3 %, et la charge sociale du salarié de 11,3 %, un salaire mensuel net pour chacun des associés de l’ordre de 5'000 fr. (6'340.90 x 88,7 % x 88,7 %). En outre, il ressort des comptes 2013 que la société a réalisé un bénéfice de 65'181 fr. 64. Ce bénéfice permettrait à la société de verser à l’appelant un salaire supplémentaire en relation avec sa fonction dirigeante correspondant à la moitié de ce bénéfice, soit 32'590 fr. 82, ce qui représente une charge de salaire mensuelle de 2'715 fr. 90 (32'590.82 : 12 mois) soit, compte tenu des déductions sociale de 11.3 % pour l’employeur et de 11,3 % pour le salarié, un revenu complémentaire de 2’136 fr. 80 net (2'715.9 x 88,7 % x 88,7 %). En conséquence, l’appelant est en mesure, selon les comptes de la société, de réaliser un revenu mensuel net de 7'125 fr. 65. f) En définitive, compte tenu d’un revenu de 7'125 fr., et de charges essentielles de 2'739 fr. 70 (850 fr. de montant de base, 150 fr. de montant de base pour le droit de visite, 1'200 fr. de loyer, 339 fr. 70 de primes d’assurances maladie et 200 fr. de frais de transport), l’appelant bénéficie d’un disponible de 4'385 fr. 95.</w:t>
      </w:r>
    </w:p>
    <w:p>
      <w:r>
        <w:t>- 16 - L’intimée supporte des charges essentielles pour un montant, compte tenu de la déduction des allocations familiales des besoins des enfants, de 5'169 francs 65 (1'350 fr. de montant de base, 770 fr. de montant de base pour les trois enfants, 1'928 fr. 35 d’intérêts hypothécaires, 17 fr. pour une place de parc, 191 fr. d’acompte de chauffage, 448 fr. de charges de copropriété, 22 fr. 35 d’impôt foncier, 6 fr. 30 de taxe déchets, 50 fr. 10 de primes d’assurance-maladie pour elle- même et les enfants, 136 fr. 55 de frais de garderie et 250 fr. de frais de transport). Compte tenu du salaire réalisé jusqu’au mois d’août 2014, par 4'925 fr. 15, elle supporte un manco de 244 fr. 50, qui doit être couvert par la contribution. Elle a en outre droit aux 66 % du disponible du couple, qui s’élève à 4'141 fr. 45 (7'125 + 4'925.15 – 2'739.70 – 5'169.65), soit 2'733 fr. 36. Le montant de la contribution s’élève en conséquence à 2'977 fr. 86, montant arrondi à 3'000 fr., jusqu’au 31 juillet 2014. Pour la période débutant le 1er août 2014, compte tenu d’un salaire de 1'675 fr., le manco de l’intimée qui doit être couvert par la contribution litigieuse s’élève à 3'494 fr. 65 (5'169.65 – 1'675). L’intimée a en outre droit aux 66 % du disponible du couple, qui s’élève à 891 fr. 30 (7'125 + 1'675 – 2'739.70 à 5'169.65), soit 588 fr. 26. Le montant de la contribution litigieuse dès le 1er août 2014 s’élève en conséquence à 4'082 fr. 91, montant arrondi à 4'100 francs.</w:t>
      </w:r>
    </w:p>
    <w:p>
      <w:r>
        <w:rPr>
          <w:b/>
        </w:rPr>
        <w:t>E. 4</w:t>
      </w:r>
    </w:p>
    <w:p>
      <w:r>
        <w:t>En conclusion, l’appel doit être partiellement admis et l’ordonnance réformée en ce sens que la contribution litigieuse est fixée à 3'000 fr. par mois du 1er mars au 31 juillet 2014 et à 4'100 fr. par mois dès le 1er août 2014, allocations familiales en sus. Vu l’issue de l’appel et l’assistance judiciaire accordé aux parties, les frais judiciaires de deuxième instance, fixés à 1'200 fr. (art. 65 al. 4 TFJC [tarif du 28 septembre 2010 des frais judiciaires civils ; RSV</w:t>
      </w:r>
    </w:p>
    <w:p>
      <w:r>
        <w:t>- 17 - 270.11.5), sont répartis par moitié entre les parties (art. 106 al. 2 CPC) et laissés à la charge de l’Etat. Les dépens de deuxième instance sont compensés</w:t>
      </w:r>
    </w:p>
    <w:p>
      <w:r>
        <w:rPr>
          <w:b/>
        </w:rPr>
        <w:t>E. 5</w:t>
      </w:r>
    </w:p>
    <w:p>
      <w:r>
        <w:t>a) Le conseil d’office de l’appelant a déposé une liste de ses opérations dont il ressort qu’il a consacré 16 h 10 au dossier et supporté 22 fr. 75 de débours. Toutefois les 4 heures de conférences avec le client pour la procédure d’appel apparaissent excessives et doivent être ramenées à 2 heures. Il en est de même des 6 heures pour la rédaction de l’appel, qui doivent être ramenées à 3 heures. Compte tenu du fait que l’audience d’appel a duré 30 minutes de plus que la durée figurant dans la note, c’est une durée de 11 h 40 qui sera retenue. Au tarif horaire de 180 fr. (art. 2 al. 1 let a RAJ [règlement du 7 décembre 2010 sur l’assistance judiciaire en matière civile ; RSV 211.02.3]), l’indemnité d’honoraires s’élève à 2'100 fr., montant auquel il convient d’ajouter la TVA à 8 %, par 168 fr., les frais forfaitaires de vacation, par 120 fr., ainsi que la TVA sur ce montant, par 9 fr. 60. L’indemnité globale s’élève en conséquence à 2'397 fr. 60. b) Le conseil d’office de l’intimée a déposé une liste de ses opérations dont il ressort qu’il a consacré 4 heures au dossier, audience par 2 heures 30 non comprise et supporté une vacation. Cette durée apparaît adéquate. Au tarif horaire de 180 fr. (art. 2 al. 1 let. a RAJ), l’indemnité d’honoraires s’élève à 1'170 fr, montant auquel il convient d’ajouter la TVA, par 93 fr. 60, les frais forfaitaires de vacation, par 120 fr. ainsi que la TVA sur ce montant, par 9 fr. 60. L’indemnité globale s’élève en conséquence à 1'393 fr. 20.</w:t>
      </w:r>
    </w:p>
    <w:p>
      <w:r>
        <w:t>- 18 - Par ces motifs, le juge délégué de la Cour d’appel civile du Tribunal cantonal, statuant à huis clos, prononce : I. L’appel est partiellement admis. II. L’ordonnance est réformée au chiffre III de son dispositif comme il suit : III. DIT que A.H.________ contribuera à l’entretien des siens par le régulier versement d’une pension mensuelle de 3’000 fr. (trois mille francs), allocations familiales non comprises, du 1er mars au 31 juillet 2014 et de 4'100 fr. (quatre mille cent francs) dès le 1 août 2014, allocations familiales non comprises, payable d’avance le premier de chaque mois en mains de B.H.________. L’ordonnance est confirmée pour le surplus. III. Les frais judiciaires de deuxième instance, arrêtés à 600 fr. (six cents francs) pour l’appelant et à 600 fr. (six cents francs) pour l’intimée sont laissés à la charge de l’Etat. IV. Les dépens de deuxième instance sont compensés. V. L’indemnité d’office de Me Nicolas Perret, conseil de l’appelant, est arrêtée à 2'397 fr. 60 (deux mille trois cent nonante-sept francs et soixante centimes), TVA et débours compris, et celle de Me Alain Valéry Poitry, conseil de l’intimée à 1'393 fr. 20 (mille trois cent nonante-trois francs et vingt centimes), TVA et débours compris. VI. Les bénéficiaires de l’assistance judiciaire sont, dans la mesure de l’art. 123 CPC, tenus au remboursement des frais judiciaires et de l’indemnité de conseil d’office mis à la charge de l’Etat. VII. L’arrêt motivé est exécutoire.</w:t>
      </w:r>
    </w:p>
    <w:p>
      <w:r>
        <w:t>- 19 - Le juge délégué : Le greffier : Du 1er octobre 2014 Le dispositif de l'arrêt qui précède est communiqué par écrit aux intéressés. Le greffier : Du L'arrêt qui précède, dont la rédaction a été approuvée à huis clos, est notifié en expédition complète, par l'envoi de photocopies à : - Me Nicolas Perret (pour A.H.________), - Me Alain-Valéry Poitry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- 20 -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