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TD14.008079 vom 7. Juli 2014</w:t>
      </w:r>
    </w:p>
    <w:p>
      <w:r>
        <w:t>VD Tribunal cantonal, 2014-07-07, FR</w:t>
      </w:r>
    </w:p>
    <w:p>
      <w:r>
        <w:rPr>
          <w:b/>
        </w:rPr>
        <w:t xml:space="preserve">Quelle: </w:t>
      </w:r>
      <w:r>
        <w:t>https://mcp.opencaselaw.ch/entscheid/vd_gerichte_TD14.008079</w:t>
      </w:r>
    </w:p>
    <w:p>
      <w:r>
        <w:t>FR: VD_GERICHTE TD14.008079 du 7 juillet 2014</w:t>
      </w:r>
    </w:p>
    <w:p>
      <w:r>
        <w:t>IT: VD_GERICHTE TD14.008079 del 7 luglio 2014</w:t>
      </w:r>
    </w:p>
    <w:p>
      <w:pPr>
        <w:pStyle w:val="Heading2"/>
      </w:pPr>
      <w:r>
        <w:t>Erwägungen</w:t>
      </w:r>
    </w:p>
    <w:p>
      <w:r>
        <w:rPr>
          <w:b/>
        </w:rPr>
        <w:t>E. 3.1</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Il n’est cependant pas insoutenable d’appliquer strictement l’art. 317 CPC dans tous les litiges auxquels s’applique la maxime</w:t>
      </w:r>
    </w:p>
    <w:p>
      <w:r>
        <w:t>- 9 - inquisitoire, même concernant des contributions envers les enfants (TF 5A_342/2013 du 27 septembre 2013 c. 4.1.2).</w:t>
      </w:r>
    </w:p>
    <w:p>
      <w:r>
        <w:rPr>
          <w:b/>
        </w:rPr>
        <w:t>E. 3.2</w:t>
      </w:r>
    </w:p>
    <w:p>
      <w:r>
        <w:t>En vertu de l’art. 276 al. 1 2e phr. CPC, les mesures provisionnelles durant la procédure de divorce sont prises en application par analogie des dispositions régissant la protection de l’union conjugale (art. 271 ss CPC). En matière de mesures protectrices de l’union conjugale, le juge de première instance établit les faits d’office en vertu de la maxime inquisitoire (art. 272 CPC). Selon la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 5 ; ATF 128 III 411 c. 3.2.1 ; Juge délégué CACI 15 juillet 2011/157 ; Haldy, CPC Commenté, n. 7 ad art. 55 CPC ; CACI 21 mai 2014/261 c. 3). Elle ne sert pas à suppléer les carences d’une partie négligente ou qui renonce à s’exprimer (TF 4C.255/2006 du 2 octobre 2006 ; TF 4P.297/2011 du 26 mars 2002). D’ailleurs ne viole pas la maxime inquisitoire illimitée l’autorité cantonale qui n’a pas requis spontanément du recourant qu’il produise de nouvelles pièces sur sa situation financière, alors que celui-ci n’avait pas indiqué qu’elle se serait modifiée (TF 5A_149/2011 du 6 juillet 2011 c. 2.4). La maxime inquisitoire étant un principe relatif à l’établissement des faits (ATF 137 III 617 c.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 3.2.1 ; ATF 138 III 374 c. 4.3.2 in fine).</w:t>
      </w:r>
    </w:p>
    <w:p>
      <w:r>
        <w:t>- 10 -</w:t>
      </w:r>
    </w:p>
    <w:p>
      <w:r>
        <w:rPr>
          <w:b/>
        </w:rPr>
        <w:t>E. 3.3</w:t>
      </w:r>
    </w:p>
    <w:p>
      <w:r>
        <w:t>En l’espèce, la pièce 1001, relative aux frais de leasing de l’appelant, date du 2 mars 2012 et aurait aisément pu être produite en cours de procédure de première instance. Comme on le verra ci-après (cf. infra, c. 4.2.3), le premier juge, qui a fait porter l’instruction sur la question des charges du débiteur, n’a pas violé ses devoirs résultant de la maxime inquisitoire illimitée. Il s’ensuit que la pièce 1001 est irrecevable.</w:t>
      </w:r>
    </w:p>
    <w:p>
      <w:r>
        <w:rPr>
          <w:b/>
        </w:rPr>
        <w:t>E. 3.4</w:t>
      </w:r>
    </w:p>
    <w:p>
      <w:r>
        <w:t>L’appelant a requis, à titre de mesure d’instruction, l’audition en qualité de témoin d’[...], afin que ce dernier puisse confirmer deux éléments essentiels, à savoir le fait que trois collègues de travail occupant au sein de l’[...] les mêmes fonctions que lui-même, respectivement le prénommé, ont été licenciés depuis le 19 mars 2014 et que la somme de 70'000 fr. n’est pas un bonus garanti, mais bien une estimation du bonus si les objectifs sont réalisés. Ce témoin a déjà été entendu par le premier juge sur la question du bonus lors de l’audience de mesures provisionnelles du 19 mars 2014 (cf. supra ch. 4). Il s’est également exprimé sur la situation « tendue » au sein de l’[...] (« la pression sur les collaborateurs était grande, l’entreprise ayant annoncé qu’elle procéderait à un nombre important de licenciements. Chacun craignait de perdre sa place. J’ai été informé au mois de février 2014 au moment de la fixation des bonus que je ne toucherai pas de bonus en 2014 sur le résultat de l’année 2013 »). Enfin, le fait que trois anciens collègues de l’appelant auraient été licenciés depuis l’audition du témoin n’est pas à même d’exercer une influence sur le sort du litige, dès lors que, comme on le verra ci-après, l’appelant a donné sa démission sans qu’il n’apparaisse qu’il y ait été contraint.</w:t>
      </w:r>
    </w:p>
    <w:p>
      <w:r>
        <w:rPr>
          <w:b/>
        </w:rPr>
        <w:t>E. 4</w:t>
      </w:r>
    </w:p>
    <w:p>
      <w:r>
        <w:t>L’appelant fait valoir que c’est à tort que le premier juge a retenu qu’il aurait fait le choix de changer d’employeur pour des raisons de convenance personnelle et qu’il a considéré que le bonus mentionné dans le contrat le liant à son nouvel employeur faisait partie intégrante de son revenu. Il fait également grief à celui-ci de ne pas avoir tenu compte</w:t>
      </w:r>
    </w:p>
    <w:p>
      <w:r>
        <w:t>- 11 - de ses frais de leasing dans l’établissement de ses charges incompressibles.</w:t>
      </w:r>
    </w:p>
    <w:p>
      <w:r>
        <w:rPr>
          <w:b/>
        </w:rPr>
        <w:t>E. 4.1</w:t>
      </w:r>
    </w:p>
    <w:p>
      <w:r>
        <w:t>Le premier juge a constaté qu’il n’y avait pas de modification par rapport à la situation qui prévalait au moment de la signature de la convention signée les 6 et 16 mars 2012. Après avoir relevé que la rémunération de l’intimé serait moindre à partir de juillet 2014 (« de l’ordre de 30'000 fr. » par an), il a précisé qu’il s’agissait là d’un choix délibéré du débiteur de « changer d’employeur, sans y être contraint » et que, « si l’on voulait bien croire que les conditions de travail au sein de l’[...] [étaient] devenues difficiles en raison des turbulences auxquelles cette banque [était] confrontée, ce qu’[avait] confirmé le témoin [...], rien n’[indiquait] que l’intimé aurait été poussé à la porte de l’[...] ». Le premier juge en a conclu que « dans la mesure toutefois où ce choix pourrait conduire à une diminution de sa capacité à maintenir le train de vie de sa famille jusqu’au prononcé du divorce, l’intimé [devait] en assumer les conséquences ».</w:t>
      </w:r>
    </w:p>
    <w:p>
      <w:r>
        <w:rPr>
          <w:b/>
        </w:rPr>
        <w:t>E. 4.1.1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w:t>
      </w:r>
    </w:p>
    <w:p>
      <w:r>
        <w:rPr>
          <w:b/>
        </w:rPr>
        <w:t>E. 4.1.2</w:t>
      </w:r>
    </w:p>
    <w:p>
      <w:r>
        <w:t>Il ressort clairement des actes de la cause que l’appelant a résilié le contrat de travail qui le liait à [...], avec effet au 30 juin 2014. Peu importe à cet égard que d’autres employés aient été licenciés, dès lors qu’il est manifeste qu’en l’état l’appelant a fait le choix de changer d’employeur. On ne saurait en particulier déduire des termes utilisés dans sa lettre de démission qu’il aurait été contraint de le faire. L’argument de</w:t>
      </w:r>
    </w:p>
    <w:p>
      <w:r>
        <w:t>- 12 - l’appelant repose sur une hypothèse (le fait qu’il aurait été licencié s’il n’avait pas donné son congé) qu’il n’y a pas lieu d’examiner dans la mesure où elle repose sur de pures conjectures, impossibles à vérifier. On ne peut en effet pas déduire des trois licenciements d’anciens collègues invoqués en appel que l’appelant aurait également été congédié. Il y a donc lieu de retenir avec le premier juge que l’appelant a volontairement diminué sa capacité de gain, ce qui ouvre la voie à la prise en compte d’un revenu hypothétique, équivalent au salaire qui aurait été le sien s’il n’avait pas changé volontairement d’employeur (TF 5A_317/2011 du 22 novembre 2011 c. 6.2, non publié aux ATF 137 III 614; TF 5A_612/2011 du 27 février 2012 c. 2.1; TF 5A_679/2011 du 10 avril 2012 c. 5.1, in FamPra.ch 2012 p. 789). Cette conclusion permet déjà de confirmer l’absence de changement significatif et non temporaire des revenus du débiteur. Par ailleurs, à supposer même que l’on ne retienne pas un revenu hypothétique, le minimum vital de l’appelant ne serait pas atteint, comme on va le voir ci-après, ce qui permet également de confirmer l’ordonnance entreprise.</w:t>
      </w:r>
    </w:p>
    <w:p>
      <w:r>
        <w:rPr>
          <w:b/>
        </w:rPr>
        <w:t>E. 4.2</w:t>
      </w:r>
    </w:p>
    <w:p>
      <w:r>
        <w:t>Le premier juge a relevé que s’il ne résultait pas de la nature même du bonus que l’octroi d’une telle gratification n’était jamais assurée, l’intimé, qui n’avait pas encore commencé à travailler pour la [...], ne fournissait en l’état aucun indice qui donnerait à penser que les objectifs fixés par l’employeur ne seraient pas atteints et que le bonus contractuellement prévu ne serait pas versé. Dès lors, il a considéré qu’il n’y avait aucune raison de faire abstraction du bonus dans la détermination du revenu du débiteur, lequel revenu s’élevait, dès le 1er juillet 2014, à 18'916 fr. par mois.</w:t>
      </w:r>
    </w:p>
    <w:p>
      <w:r>
        <w:rPr>
          <w:b/>
        </w:rPr>
        <w:t>E. 4.2.1</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Si des parts de salaire sont versés à</w:t>
      </w:r>
    </w:p>
    <w:p>
      <w:r>
        <w:t>- 13 -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 2.3, FamPra.ch 2011 p. 483). L’évaluation du salaire du débirentier comporte le salaire moyen, auquel il convient d’ajouter les bonus versés annuellement. Si le contrat de travail fixe un bonus minimal, mais que le débirentier a reçu des sommes plus élevées durant les dernières années et que les bons résultats de l’entreprise devraient perdurer, il n’est pas arbitraire d’évaluer son salaire annuel en prenant une part variable plus élevée que la somme minimale indiquée sur le contrat de travail (TF 5A_899/2012 du 18 février 2013 c. 2.2.3 et 2.2.4).</w:t>
      </w:r>
    </w:p>
    <w:p>
      <w:r>
        <w:rPr>
          <w:b/>
        </w:rPr>
        <w:t>E. 4.2.2</w:t>
      </w:r>
    </w:p>
    <w:p>
      <w:r>
        <w:t>En l’espèce, le premier juge pouvait prendre en compte le montant du bonus dès lors que le contrat de travail de l’appelant, conclu pour une durée indéterminée, mentionne en sus du salaire annuel le versement d’un bonus garanti de 70'000 fr. pour l’exercice 2014, versé en mars 2015, et rien ne donne à penser que ce bonus contractuellement prévu ne sera pas servi. Par ailleurs, dans la mesure où l’appelant a débuté son emploi au mois de juillet 2014, une moyenne ne saurait être établie et c’est la gratification 2014 qui doit être retenue, laquelle s’ajoute au produit du travail de l’appelant. Il n’est en outre pas arbitraire d’incorporer le bonus au salaire mensuel du débiteur, à l’instar du treizième salaire (Deluze/Page/Stoudmann, Droit de la famille, Code annoté, n. 1.34 ad art. 176 CC et les références). En conséquence, les motifs du premier juge sont adéquats et peuvent être confirmés.</w:t>
      </w:r>
    </w:p>
    <w:p>
      <w:r>
        <w:rPr>
          <w:b/>
        </w:rPr>
        <w:t>E. 4.2.3</w:t>
      </w:r>
    </w:p>
    <w:p>
      <w:r>
        <w:t>L’appelant ne conteste pas que son salaire serait de 18'916 fr. par mois si l’on tenait compte du bonus contractuellement prévu dans le contrat avec la [...], admettant même, sur cette base, une différence de salaire « d’au moins CHF 30'000.00 à CHF 40'000.00 par année, dès le 1er juillet 2014 ».</w:t>
      </w:r>
    </w:p>
    <w:p>
      <w:r>
        <w:t>- 14 - S’agissant des charges, l’appelant reproche au premier juge de ne pas avoir tenu compte des frais de leasing, par 700 francs. En première instance, l’appelant n’a nullement fait état dans ses écritures d’un changement de sa situation sous l’angle de ses charges, en particulier en lien avec un éventuel leasing à assumer. Or, le premier juge, qui a fait porter l’instruction sur la question des charges du débiteur, n’a pas violé ses devoirs résultant de la maxime inquisitoire illimitée, dans la mesure où il appartenait à l’appelant de renseigner le magistrat sur les moyens de preuve disponibles pour établir les faits de la cause, conformément à la jurisprudence rappelée ci-dessus. Dans la mesure où il ne l’a pas fait, l’appelant, qui ne dénonce d’ailleurs aucune violation de la maxime inquisitoire illimitée, ne peut s’en prévaloir valablement en instance d’appel. A cela s’ajoute que l’appelant ne prétend pas, et encore moins n’établit, que son minimum vital serait atteint, lors même qu’une telle atteinte a été niée par le premier juge et peut être ici confirmée sur la base des chiffres retenus en première instance.</w:t>
      </w:r>
    </w:p>
    <w:p>
      <w:r>
        <w:rPr>
          <w:b/>
        </w:rPr>
        <w:t>E. 5.1</w:t>
      </w:r>
    </w:p>
    <w:p>
      <w:r>
        <w:t>Dans un moyen supplémentaire, l’appelant fait grief au premier juge d’avoir retenu qu’il ne pouvait pas être exigé en l’état de la requérante, alors même qu’elle ne rencontre aucun problème de santé et qu’elle dispose d’une formation professionnelle, qu’elle travaille à un taux d’activité supérieur, compte tenu de l’âge des enfants, en particulier du cadet.</w:t>
      </w:r>
    </w:p>
    <w:p>
      <w:r>
        <w:rPr>
          <w:b/>
        </w:rPr>
        <w:t>E. 5.2</w:t>
      </w:r>
    </w:p>
    <w:p>
      <w:r>
        <w:t>Selon la jurisprudence, on ne peut en principe pas exiger d’un époux la prise ou la reprise d’une activité lucrative à un taux de 50% avant que le plus jeune des enfants dont il a la garde ait atteint l’âge de dix ans révolus et de 100% avant qu’il n’ait atteint l’âge de seize ans révolus (ATF 137 III 102, c. 4.2.2.2, 115 II 6 c. 3c). Ces principes valent tant en matière de contribution d'entretien après divorce qu'en matière de</w:t>
      </w:r>
    </w:p>
    <w:p>
      <w:r>
        <w:t>- 15 - mesures provisionnelles ou de mesures protectrices (TF 5A_319/2013 du 17 octobre 2013 c. 2.3.3).</w:t>
      </w:r>
    </w:p>
    <w:p>
      <w:r>
        <w:rPr>
          <w:b/>
        </w:rPr>
        <w:t>E. 5.3</w:t>
      </w:r>
    </w:p>
    <w:p>
      <w:r>
        <w:t>En l’espèce, c’est à juste titre que le premier juge a retenu qu’en présence de deux enfants âgés de douze et sept ans, il ne pouvait être exigé en l’état de l’épouse qu’elle augmente son taux d’activité. Que le mariage ait duré dix ou neuf ans jusqu’à la séparation (cf. ch. 2) ne change rien à cette appréciation, qui peut être confirmée.</w:t>
      </w:r>
    </w:p>
    <w:p>
      <w:r>
        <w:rPr>
          <w:b/>
        </w:rPr>
        <w:t>E. 6</w:t>
      </w:r>
    </w:p>
    <w:p>
      <w:r>
        <w:t>Au vu de ce qui précède, l’appel est manifestement infondé et doit être rejeté en vertu de l’art. 312 al. 1 CPC. L’ordonnance de mesures provisionnelles attaquée doit être confirmée. Les frais judiciaires de l’appelant, qui succombe, sont arrêtés à 2’000 fr. (art. 65 al. 4 TFJC [tarif des frais judiciaires civils du 28 septembre 2010 ; RSV 270.11.5]). Il n’y a pas lieu d’allouer de dépens à l’intimée qui n’a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2’000 fr. (deux mille francs), sont mis à la charge de l’appelant D.________.</w:t>
      </w:r>
    </w:p>
    <w:p>
      <w:r>
        <w:t>- 16 - IV. L’arrêt est exécutoire. La juge déléguée : Le greffier : Du L'arrêt qui précède, dont la rédaction a été approuvée à huis clos, est notifié en expédition complète, par l'envoi de photocopies, à : - Me Marc-Olivier Buffat (pour D.________), - Me Christine Sattiva Spring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