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TD13.048529 vom 28. Juli 2017</w:t>
      </w:r>
    </w:p>
    <w:p>
      <w:r>
        <w:t>VD Tribunal cantonal, 2017-07-28, FR</w:t>
      </w:r>
    </w:p>
    <w:p>
      <w:r>
        <w:rPr>
          <w:b/>
        </w:rPr>
        <w:t xml:space="preserve">Quelle: </w:t>
      </w:r>
      <w:r>
        <w:t>https://mcp.opencaselaw.ch/entscheid/vd_gerichte_TD13.048529</w:t>
      </w:r>
    </w:p>
    <w:p>
      <w:r>
        <w:t>FR: VD_GERICHTE TD13.048529 du 28 juillet 2017</w:t>
      </w:r>
    </w:p>
    <w:p>
      <w:r>
        <w:t>IT: VD_GERICHTE TD13.048529 del 28 luglio 2017</w:t>
      </w:r>
    </w:p>
    <w:p>
      <w:pPr>
        <w:pStyle w:val="Heading2"/>
      </w:pPr>
      <w:r>
        <w:t>Erwägungen</w:t>
      </w:r>
    </w:p>
    <w:p>
      <w:r>
        <w:rPr>
          <w:b/>
        </w:rPr>
        <w:t>E. 3</w:t>
      </w:r>
    </w:p>
    <w:p>
      <w:r>
        <w:t>L'appelante soutient que l'intimé devrait s'acquitter d'une contribution d'entretien en sa faveur au-delà du 31 août 2015. L’intimé estime, quant à lui, que rien ne permet de s’écarter de la convention passée en août 2013 entre les parties, aux termes de laquelle il n’a plus à contribuer à l’entretien de l’appelante au-delà du 31 août 2015.</w:t>
      </w:r>
    </w:p>
    <w:p>
      <w:r>
        <w:rPr>
          <w:b/>
        </w:rPr>
        <w:t>E. 3.1.1</w:t>
      </w:r>
    </w:p>
    <w:p>
      <w:r>
        <w:t>Les mesures protectrices de l'union conjugale demeurent en vigueur au-delà de l'ouverture de la procédure de divorce; une fois ordonnées, elles peuvent toutefois être modifiées par le juge des mesures provisionnelles, aux conditions de l'art. 179 CC (TF 5A 866/2013 du 16 avril 2014 consid. 2; TF 5A 933/2012 du 17 mai 2013 consid. 5.2; TF</w:t>
      </w:r>
    </w:p>
    <w:p>
      <w:r>
        <w:t>- 9 - 5A_547/2012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(sur le tout: TF 5A 131/2014 du 27 mai 2014 consid. 2.1).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TF 5A562/2013 du 24 octobre 2013 consid. 3.1). Ainsi une augmentation de charge minime ne saurait être prise en considération, sous peine de modifier la contribution d'entretien à chaque petit changement de circonstances (Juge délégué CACI du 24 avril 2014/207).</w:t>
      </w:r>
    </w:p>
    <w:p>
      <w:r>
        <w:t>- 10 -</w:t>
      </w:r>
    </w:p>
    <w:p>
      <w:r>
        <w:rPr>
          <w:b/>
        </w:rPr>
        <w:t>E. 3.1.2</w:t>
      </w:r>
    </w:p>
    <w:p>
      <w:r>
        <w:t>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w:t>
      </w:r>
    </w:p>
    <w:p>
      <w:r>
        <w:t>- 11 -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w:t>
      </w:r>
    </w:p>
    <w:p>
      <w:r>
        <w:t>- 12 -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322ss). L’addition des coûts directs de l’enfant – éventuellement pondérés en fonction de la prise en charge effective de chaque parent – et de la contribution de prise en charge constituera le montant dû au titre de contribution d’entretien pour l’enfant.</w:t>
      </w:r>
    </w:p>
    <w:p>
      <w:r>
        <w:rPr>
          <w:b/>
        </w:rPr>
        <w:t>E. 3.1.3</w:t>
      </w:r>
    </w:p>
    <w:p>
      <w:r>
        <w:t>En cas de garde alternée, plusieurs méthodes peuvent être envisagées pour tenir compte de la répartition des charges de l'enfant entre parents (de Weck/Immelé, in Commentaire pratique, Droit matrimonial, fond et procédure, Bâle 2016, n. 163 ad art. 176 CC et réf. cit.)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w:t>
      </w:r>
    </w:p>
    <w:p>
      <w:r>
        <w:t>- 13 - des enfants entre les parents en proportion de leur solde disponible respectif après avoir établi le coût des enfants et soustrait les coûts directement pris en charge par chacun d'entre eux (TF 5A 386/2012 du 23 juillet 2012 consid. 4.2.2 ; TF 5A_497/2011 du</w:t>
      </w:r>
    </w:p>
    <w:p>
      <w:r>
        <w:rPr>
          <w:b/>
        </w:rPr>
        <w:t>E. 3.1.4</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w:t>
      </w:r>
    </w:p>
    <w:p>
      <w:r>
        <w:t>- 14 - qu'elle peut raisonnablement devoir accomplir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consid. 3.1; ATF 128 III 4 consid. 4c/bb; 126 III 10 consid. 2b). Pour arrêter le montant du salaire, le juge peut notamment se baser sur l'enquête suisse des conventions collectives de travail (ATF 137 III 118 consid. 3.2, JdT 2011 II 486; TF 5A_99/2011 du 26 septembre 2011 consid. 7.4.1 non publié aux ATF 137 III 604; TF 5A_933/2015 du 23 février 2016 consid. 6.1).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consid. 3.2).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publié in FamPra.ch 2011 p. 717). Lorsque la réorientation est intervenue d'entente entre les époux, la fixation d'un délai d'adaptation de deux à trois ans à compter du début d'une activité indépendante, pour arriver à une capacité de gain pleine et entière, est conforme à l'expérience de la vie. Durant cette période, il est ainsi arbitraire de considérer, sans autres justifications, que l'intéressé pourrait être astreint à une activité accessoire pour épuiser sa capacité de gain et retenir un revenu hypothétique (Juge délégué CACI 19 mars 2015/137).</w:t>
      </w:r>
    </w:p>
    <w:p>
      <w:r>
        <w:rPr>
          <w:b/>
        </w:rPr>
        <w:t>E. 3.2</w:t>
      </w:r>
    </w:p>
    <w:p>
      <w:r>
        <w:t>En l'espèce, le versement d’une contribution d’entretien en faveur de l’appelante ne dépend pas uniquement des termes de la convention passée entre les parties en août 2013, la question de la</w:t>
      </w:r>
    </w:p>
    <w:p>
      <w:r>
        <w:t>- 15 - pension en faveur de l'enfant devant être examinée d'office. Ce droit dépend en effet de la capacité de l’appelante – ou de son incapacité – à assumer les coûts d’entretien de son fils H.________ lorsque celui-ci est auprès d’elle.</w:t>
      </w:r>
    </w:p>
    <w:p>
      <w:r>
        <w:rPr>
          <w:b/>
        </w:rPr>
        <w:t>E. 3.3</w:t>
      </w:r>
    </w:p>
    <w:p>
      <w:r>
        <w:t>Les parties sont séparées depuis octobre 2011. Elles ont convenu d’un mode de garde alterné sur leur fils H.________, né en [...] 2005. Chaque parent doit ainsi assumer la moitié des coûts d’entretien mensuels de l’enfant. Il ressort de la convention passée entre les parties en août 2013 que ces coûts avaient été arrêtés pour chaque parent à 325 fr. (450 fr. [½ base mensuelle de 400 fr. + ½ frais de garde et prime d'assurance maladie par 500 fr.) – 125 fr. [½ des allocations familiales de 250 fr.]). On relève que ce montant est supérieur à celui qu'on obtiendrait en appliquant les « tabelles zurichoises » au 1er janvier 2016, selon lesquelles les besoins d'entretien moyens d'un enfant de 7 à 12 ans s'élèvent à 454 fr. par mois, soit 227 fr. pour chacune des parties. L’appelante est au bénéfice d’une formation d’infirmière niveau II, équivalence HES achevée en 1998, ainsi que d’une licence en sciences sociales, niveau Master, terminée en 2008. Durant la vie commune, elle a travaillé, à tout le moins à temps partiel, dans le domaine de l’enseignement thérapeutique aux patients diabétiques, puis en tant que responsable d’un centre de santé infirmier rattaché à la Policlinique Médicale Universitaires de Lausanne et destiné aux requérants d’asile. Après la naissance de son fils en 2005, elle a travaillé en qualité d’infirmière en soins à domicile et a enseigné dans les écoles de soins infirmiers de [...] et de [...]. En 2015, soit plus de trois ans après la séparation des parties intervenue en octobre 2011, elle a souhaité réorienter sa carrière et a entrepris une formation dans le domaine de la photographie et de la photothérapie. Requise de produire des preuves de ses recherches d’emploi, l’appelante a indiqué avoir proposé, entre 2016 et 2017, ses services à sept associations ou organismes à [...], [...] ou [...], sans toutefois parvenir</w:t>
      </w:r>
    </w:p>
    <w:p>
      <w:r>
        <w:t>- 16 - à démontrer la réalité de ces recherches. Elle n'a en effet produit la copie que d’une lettre de motivation datée du 21 janvier 2016. Cela n’est de toute évidence pas suffisant pour considérer que l’appelante a fait tous les efforts raisonnablement exigibles d’elle pour acquérir une indépendance économique près de sept ans après la séparation des parties. Dans ces circonstances, il est justifié d’attribuer à l’appelante un revenu hypothétique. Au vu de sa formation dans le domaine des soins infirmiers – dont elle se prévaut d’ailleurs dans la seule lettre de motivation produite –, de son expérience professionnelle notamment dans ce domaine, de son âge et de son état de santé, ce revenu mensuel hypothétique peut être fixé à 4’500 francs. Ce montant correspond au minimum de la classe salariale 20 (4'430 fr. à 80%) arrêtée par la convention collective de travail dans le secteur social parapublic vaudois (état au 1er janvier 2015) pour une infirmière disposant d’un diplôme HES ou ES et d’au moins quatre années d’expérience dans le domaine, justifiant ainsi l’octroi d’une annuité de l’ordre de 1'645 francs. Dans la mesure où ce revenu permet à l’appelante d’assumer l’ensemble de ses charges incompressibles ainsi que la moitié des coûts d‘entretien de son fils H.________ lorsqu’il est auprès d’elle, cette dernière ne peut prétendre au versement d’une contribution d’entretien à la charge de l’intimé. 4. 4.1 En définitive, l’appel doit être rejeté et l’ordonnance confirmée. Les frais judiciaires de deuxième instance, arrêtés à 600 fr. (art. 65 al. 2 TFJC [tarif des frais judiciaires civils du 28 septembre 2010 ; RSV 270.11.5]), seront mis à la charge de l’appelante, qui succombe (art. 106 al. 1 CPC). Cette dernière plaidant au bénéfice de l'assistance judiciaire, ces frais seront provisoirement pris en charge par l'Etat.</w:t>
      </w:r>
    </w:p>
    <w:p>
      <w:r>
        <w:t>- 17 - L’intimé qui a agi par l’intermédiaire d’un conseil, a droit à des dépens de deuxième instance qui peuvent être arrêtés à 1’700 francs (art.</w:t>
      </w:r>
    </w:p>
    <w:p>
      <w:r>
        <w:rPr>
          <w:b/>
        </w:rPr>
        <w:t>E. 5</w:t>
      </w:r>
    </w:p>
    <w:p>
      <w:r>
        <w:t>décembre 2011 consid. 7.4)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(cf. TF 5A_86/2016 du 5 septembre 2016 consid. 7.4.2 ; TF 5A_205/20013 du 29 juillet 2014).</w:t>
      </w:r>
    </w:p>
    <w:p>
      <w:r>
        <w:rPr>
          <w:b/>
        </w:rPr>
        <w:t>E. 7</w:t>
      </w:r>
    </w:p>
    <w:p>
      <w:r>
        <w:t>al. 1 TDC). 4.2 En sa qualité de conseil d’office de l’appelante, Me Georges Reymond a droit à une rémunération équitable pour ses opérations et débours dans la procédure d’appel. Dans la liste des opérations produite le 5 juillet 2017, le conseil a déclaré avoir consacré 13.32 heures à ce mandat, ce qui peut être admis compte tenu de la nature de la cause. Au tarif horaire de 180 fr., l'indemnité de Me George Reymond peut être arrêtée à 2'397 fr. 60, montant auquel il convient d'ajouter 120 fr. de frais de vacation et la TVA par 8% sur le tout par 201 fr. 40, soit un total de 2'719 francs. C.________ est tenue, dans la mesure de l’art. 123 CPC, au remboursement des frais judiciaires et de l’indemnité au conseil d’office mis à la charge de l’Etat. Par ces motifs, la juge déléguée de la Cour d’appel civile prononce : I. L’appel est rejeté. II. L’ordonnance est confirmée. III. Les frais judiciaires de deuxième instance, arrêtés à 600 fr. (six cents francs) pour C.________, sont provisoirement laissés à la charge de l’Etat.</w:t>
      </w:r>
    </w:p>
    <w:p>
      <w:r>
        <w:t>- 18 - IV. L’indemnité d’office de Me Georges Reymond, conseil de l’appelante C.________, est arrêtée à 2'719 (deux mille sept cent dix-neuf francs), TVA et débours compris. V. La bénéficiaire de l’assistance judiciaire est, dans la mesure de l’art. 123 CPC, tenue au remboursement des frais judiciaires et de l’indemnité au conseil d’office mis à la charge de l’Etat. VI. L’appelante C.________ doit verser à l’intimé L.________ la somme 1'700 fr. (mille sept cents francs) à titre de dépens de deuxième instance. VII. L’arrêt est exécutoire. La juge déléguée : La greffière : Du Le présent arrêt, dont la rédaction a été approuvée à huis clos, est notifié en expédition complète à : - Me Georges Reymond, avocat (pour C.________) - Me Mireille Loroch, avocate (pour L.________), et communiqué, par l'envoi de photocopies, à : - M. le Président du Tribunal civil de l’arrondissement de Lausanne. La juge déléguée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