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TD13.028643 vom 19. Oktober 2015</w:t>
      </w:r>
    </w:p>
    <w:p>
      <w:r>
        <w:t>VD Tribunal cantonal, 2015-10-19, FR</w:t>
      </w:r>
    </w:p>
    <w:p>
      <w:r>
        <w:rPr>
          <w:b/>
        </w:rPr>
        <w:t xml:space="preserve">Quelle: </w:t>
      </w:r>
      <w:r>
        <w:t>https://mcp.opencaselaw.ch/entscheid/vd_gerichte_TD13.028643</w:t>
      </w:r>
    </w:p>
    <w:p>
      <w:r>
        <w:t>FR: VD_GERICHTE TD13.028643 du 19 octobre 2015</w:t>
      </w:r>
    </w:p>
    <w:p>
      <w:r>
        <w:t>IT: VD_GERICHTE TD13.028643 del 19 ottobre 2015</w:t>
      </w:r>
    </w:p>
    <w:p>
      <w:pPr>
        <w:pStyle w:val="Heading2"/>
      </w:pPr>
      <w:r>
        <w:t>Erwägungen</w:t>
      </w:r>
    </w:p>
    <w:p>
      <w:r>
        <w:rPr>
          <w:b/>
        </w:rPr>
        <w:t>E. 3.1</w:t>
      </w:r>
    </w:p>
    <w:p>
      <w:r>
        <w:t>L’appelant fait valoir que les constatations de fait seraient inexactes et que l’appréciation du premier juge violerait le droit fédéral, à tout le moins procéderait de l’arbitraire, s'agissant de son revenu tel qu'il a été retenu en première instance. Il reproche pour l'essentiel à celui-ci d'avoir considéré qu'il n'y avait aucune modification notable de sa situation au sens de l’art. 179 al. 1 CC depuis la dernière ordonnance de mesures provisionnelles du 3 avril 2014.</w:t>
      </w:r>
    </w:p>
    <w:p>
      <w:r>
        <w:rPr>
          <w:b/>
        </w:rPr>
        <w:t>E. 3.2.1</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par renvoi de l'art. 276 al. 1 CPC). Aux termes de l'art. 179 al. 1, 1e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publié in : FamPra.ch 2011 p. 993 ; TF 5A_183/2010 du 19 avril 2010</w:t>
      </w:r>
    </w:p>
    <w:p>
      <w:r>
        <w:t>- 15 - consid. 3.3.1 ; TF 5A_667/2007 du 7 octobre 2008 consid.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la référence ; TF 5A_811/2012 du 18 février 2013 consid. 3.2 et la référence ; TF 5A_400/2012 du 25 février 2013 consid. 4.1 et les arrêts cités).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w:t>
      </w:r>
    </w:p>
    <w:p>
      <w:r>
        <w:rPr>
          <w:b/>
        </w:rPr>
        <w:t>E. 3.2.2</w:t>
      </w:r>
    </w:p>
    <w:p>
      <w:r>
        <w:t>Selon la jurisprudence,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consid. 2.2 et les références citées, publié in : La pratique du droit de la famille [FamPra.ch] 2004, p. 909 ; Bräm, Zürcher Kommentar, 1998, n. 78 ad art. 163 CC). Ce principe vaut quelle que soit la forme juridique de l’entreprise (TF 5A_203/2009 du 27 août 2009 consid. 2.4, publié in : FamPra.ch 2009 p.</w:t>
      </w:r>
    </w:p>
    <w:p>
      <w:r>
        <w:t>- 16 - 1064). Il n’est en effet pas possible de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s’il n’existe pas des entités indépendantes, la société étant un simple instrument dans la main de son auteur qui, économiquement, ne fait qu’un avec elle, on doit admettre à certains égards que, conformément à la réalité économique, il y a identité de personnes et que les rapports de droit liant l’une lient également l’autre, de sorte que le fait d’invoquer la diversité des sujets constitue un abus de droit (TF 5A_696/2011 du 29 juin 2012 consid. 4.1.2 publié in : FamPra.ch 2012, p. 1128).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 FamPra.ch 2009 p. 464 ; TF 5A_687/2011 du 17 avril 2012 consid. 5.1.1 ; TF 5A_973/2013 du 9 mai 2014 consid. 5.2.3 ; TF 5A_544/2014 du 17 septembre 2014 consid. 4.1). Il convient de corriger le bénéfice annuel en prenant en considération les amortissements extraordinaires, les réserves injustifiées et les achats privés (TF 5A_687/2011 du 17 avril 2012 consid. 5.1.1 ; TF 5A_973/2013 du 9 mai 2014 consid. 5.2.3). De même, ce n'est que lorsque les allégations sur le montant des revenus ne sont pas vraisemblables et que les pièces produites ne sont pas convaincantes – comme par exemple</w:t>
      </w:r>
    </w:p>
    <w:p>
      <w:r>
        <w:t>- 17 - lorsque les comptes de résultat manquent – qu'il convient de se fonder sur le niveau de vie des époux durant la vie commune. Les prélèvements privés constituent alors un indice permettant de déterminer le train de vie (TF 5A_246/2009 précité). En matière de mesures protectrices, respectivement de mesures provisionnelles, le juge doit s'en tenir à la vraisemblance des faits allégués (Chaix, Commentaire romand, n. 7 ad art. 176 CC ; Juge délégué CACI 25 août 2011/211). On ne saurait exiger du juge des mesures provisionnelles ou protectrices qu'il se transforme en expert avisé, qui devrait déceler, sur la base des seuls comptes, où pourraient résider des charges fictives (CREC II 20 octobre 2008/199).</w:t>
      </w:r>
    </w:p>
    <w:p>
      <w:r>
        <w:rPr>
          <w:b/>
        </w:rPr>
        <w:t>E. 3.2.3</w:t>
      </w:r>
    </w:p>
    <w:p>
      <w:r>
        <w:t>L'appelant fait également valoir que son appartement à Lausanne serait vacant, de sorte qu'il ne recevrait plus de revenu locatif, ce qui constituerait un autre élément nouveau et durable. Compte tenu des circonstances de l'espèce, l'appréciation du premier juge, selon laquelle la vacance de l'appartement ne pouvait justifier une modification du régime existant et qu’il fallait en outre retenir un revenu hypothétique pour un montant correspondant au loyer précédemment perçu, ne prête pas le flanc à la critique et doit être confirmée. Au regard de la pénurie notoire d'objets locatifs dans la région lausannoise, qui permet une relocation aisée, il est raisonnablement exigible de l'appelant qu'il continue à louer cet appartement afin de remplir ses obligations d'entretien. Il ressort d’ailleurs du dossier que l'appartement en cause a été régulièrement loué durant l'année 2014. Une mise en location est tout à fait réalisable, de sorte qu’il appartenait à B.Z.________ d’effectuer les démarches utiles en vue de continuer à louer son bien immobilier, partant en percevoir les revenus locatifs. A ce titre, l’appelant se borne à soutenir qu’il n’a pas sciemment renoncé à ce revenu locatif, faisant valoir la précarité de sa situation financière, en particulier le fait qu’il aurait dû recourir à des prêts pour faire face à ses charges. On ne discerne toutefois pas ce qu’il entend tirer de cet argument, dès lors que le motif pour lequel l’intéressé a renoncé à ce</w:t>
      </w:r>
    </w:p>
    <w:p>
      <w:r>
        <w:t>- 21 - revenu importe peu et que l'imputation d'un revenu hypothétique ne revêt pas un caractère pénal ; il s'agit simplement d'inciter la personne à réaliser le revenu qu'elle est en mesure de se procurer et dont on peut raisonnablement exiger d'elle qu'elle l'obtienne afin de remplir ses obligations (cf. ATF 137 III 118 consid. 2.3, JdT 2011 II 486 ; ATF 128 III 4 consid. 4a ; TF 5A_290/2010 du 28 octobre 2010 consid. 3.1, publié in : SJ 2011 I 177). Partant, on ne saurait admettre que la vacance alléguée soit de nature à justifier une adaptation du montant de la contribution d’entretien.</w:t>
      </w:r>
    </w:p>
    <w:p>
      <w:r>
        <w:rPr>
          <w:b/>
        </w:rPr>
        <w:t>E. 3.2.4</w:t>
      </w:r>
    </w:p>
    <w:p>
      <w:r>
        <w:t>L’appelant soutient encore que sa capacité contributive devrait être réduite à 60 % dès la fin de l’été 2015, compte tenu de son mauvais état de santé. Il y a lieu de retenir, d’une part, que les témoignages de ses enfants, qui ont exprimé leur inquiétude quant à la santé de leur père (épuisement nerveux, problèmes de sommeil, grande fatigue), n'ont qu'une valeur probante toute relative en raison du lien de parenté et de l'affection que portent les témoins à leur père, de surcroît employés par ce dernier. D’autre part, aucun certificat médical ne vient étayer les allégations de l'appelant. Il faut dès lors considérer que l’intéressé n'a pas rendu vraisemblable que ses problèmes de santé l'obligeraient à diminuer son activité. Comme l’a mentionné le premier juge, en tant que salarié de la société, B.Z.________ pourrait en outre avoir droit à des indemnités perte de gain.</w:t>
      </w:r>
    </w:p>
    <w:p>
      <w:r>
        <w:rPr>
          <w:b/>
        </w:rPr>
        <w:t>E. 3.3</w:t>
      </w:r>
    </w:p>
    <w:p>
      <w:r>
        <w:t>Au vu des considérations qui précèdent, c'est à bon droit que le premier juge a retenu que les revenus de l'appelant ne s'étaient pas modifiés de manière notable et durable, respectivement que sa capacité contributive était restée inchangée.</w:t>
      </w:r>
    </w:p>
    <w:p>
      <w:r>
        <w:rPr>
          <w:b/>
        </w:rPr>
        <w:t>E. 3.3.1</w:t>
      </w:r>
    </w:p>
    <w:p>
      <w:r>
        <w:t>S'agissant du salaire mensuel net, celui-ci était de 9'314 fr. selon l'ordonnance de mesures provisionnelles du 3 avril 2014 et l’arrêt du 25 avril 2014 du Juge délégué de la Cour de céans. Il est désormais de 9'640 fr. 20 nets par mois depuis le début de l’année 2015, versé douze fois l'an, montant qui comprend 230 fr. d’allocations familiales. De ce point de vue, il n’y a pas de changements essentiels des circonstances, ce qui n’est d’ailleurs pas contesté.</w:t>
      </w:r>
    </w:p>
    <w:p>
      <w:r>
        <w:rPr>
          <w:b/>
        </w:rPr>
        <w:t>E. 3.3.2</w:t>
      </w:r>
    </w:p>
    <w:p>
      <w:r>
        <w:t>L'appelant prétend en revanche que, pour ce qui est du bénéfice de la société P.________ dont il est l’unique associé-gérant, il faudrait désormais prendre en considération celui de l'année 2014, dont le montant s'est élevé à 54'106 fr. 25. En comparant les bilans 2013 et 2014, on ne pourrait que constater une baisse considérable du bénéfice (d’au moins 50 %). De plus, selon l'appelant, tout porterait à croire raisonnablement que le bénéfice 2015 sera identique au précédent, de sorte qu'il y aurait un élément significatif modifiant durablement les circonstances.</w:t>
      </w:r>
    </w:p>
    <w:p>
      <w:r>
        <w:t>- 18 - Dans l'ordonnance de mesures provisionnelles du 3 avril 2014, puis dans l’arrêt cantonal du 25 avril 2014 – confirmé par arrêt du Tribunal fédéral du 23 octobre 2014 –, il a été considéré qu’il y avait lieu de prendre en compte les bénéfices de P.________ dont l’appelant détenait l’entier des parts ; il a ainsi été tenu compte du fait que cette société avait réalisé un bénéfice de 97'797 fr. 43 en 2013, selon le bilan intermédiaire. Partant, un montant de 6'600 fr. avait été comptabilisé dans le calcul de la capacité contributive de B.Z.________. A cet égard, s’il est exact que le bénéfice de l’année 2014 s’est élevé à 54'106 fr. 25, pour un bénéfice 2013 final de 128'008 fr. 18, il convient de relever que les comptes 2014 de la société ont été grevés des investissements et charges nécessaires à l’ouverture d’un deuxième site d’exploitation. L’appelant avait déjà soutenu, dans le cadre de sa précédente requête de mesures provisionnelles, que le bénéfice de l’année 2014 serait inférieur à celui de 2013 en raison de l’ouverture de ce deuxième site. A cet effet, le Juge délégué avait en particulier considéré, dans son arrêt du 25 avril 2014, que l’appelant était responsable envers les siens de maintenir sa situation financière et qu’il ne pouvait réduire sa capacité contributive, peu important que ce soit par des investissements adéquats eu égard au marché, de sorte qu'il ne pouvait pas associer les crédirentiers à son entreprise en leur imposant une réduction de l’entretien qu’il était tenu de leur fournir. Force est dès lors de constater que la question de la diminution du bénéfice 2014 avait déjà été prise en compte au cours de la précédente procédure et qu'il ne s'agit pas d'un élément nouveau. A cela s'ajoutent les considérations suivantes. Il résulte du bilan intermédiaire de janvier à juillet 2015 que le bénéfice pour cette période se monte déjà en l'état à quelques 55'654 francs. Rien ne permet, au vu des pièces au dossier, de remettre en cause l'appréciation adéquate du premier juge selon laquelle ce bénéfice serait amené à augmenter d'ici au bouclement de l'exercice 2015. En effet, comme les frais d'ouverture du deuxième site d'exploitation n'ont pas à être déboursés, on peut</w:t>
      </w:r>
    </w:p>
    <w:p>
      <w:r>
        <w:t>- 19 - prévoir que le bénéfice 2015 tendra à augmenter, pour atteindre un bénéfice équivalent, à tout le moins très proche de celui retenu dans la précédente ordonnance de mesures provisionnelles. A ce titre, c’est en vain que l'appelant se prévaut du témoignage de sa fille, directrice administrative au sein de P.________, qui a déclaré que le bénéfice de l'année 2015 devrait être équivalent à celui de l'année 2014, soit de l'ordre de "50'000 fr. à 60'000 fr.", et que la société, qui se trouvait dans une période de grande incertitude, verrait de ce fait ses charges augmenter. D'abord, ce témoignage, émanant d'un proche de l'appelant, doit être apprécié avec retenue et l'on ne saurait se fonder sur la seule prévision émise par ce témoin pour retenir un bénéfice maximum de l’ordre de "50'000 à 60'000 fr." pour 2015. Ensuite, si certaines charges – d'ailleurs non évaluées – ne devraient être comptabilisées qu’en fin d'année, comme les primes au personnel et les amortissements, il n'en demeure pas moins que d'autres charges figurant dans les comptes intermédiaires 2015, représentant 10'000 fr. d'après D.Z.________, ont été payées d'avances (prime LAA et maladie, loyer [...] ou loyer [...]). Il a également été relevé que la société comptait sur une augmentation de patients, avec son service de permanence d’urgence, qui constituait sa force sur un marché variable. Quant aux charges supplémentaires de salaire évoquées, elles restent hypothétiques. D’une part, même à supposer qu'il faille en principe un CDS pour un assistant, il existe actuellement une tolérance et le cabinet a sept assistants pour six CDS, soit une situation proche de la norme. De façon générale ensuite, s'il n'y a plus d'assistants sur le marché suisse, de par la pénurie consécutive à la fermeture de l’école de [...], de tels assistants peuvent toujours être trouvés à l'étranger, aux dires même de D.Z.________, certes avec des coûts de formation supplémentaires ; toutefois ces coûts n'ont pas été précisés, de sorte qu’ils ne sauraient être de nature à établir la prétendue augmentation des charges que l’appelant invoque. Pour le reste, le témoin a encore précisé qu'en septembre 2015, cinq assistants devaient passer leur CDS et que s'ils réussissaient, leur salaire allait augmenter. Une fois encore, on ignore non seulement l'étendue des charges alléguées, mais surtout si les charges ont effectivement augmenté depuis septembre 2015</w:t>
      </w:r>
    </w:p>
    <w:p>
      <w:r>
        <w:t>- 20 - pour ce motif. On doit dès lors constater que ces éléments sont trop incertains pour qu'on puisse en tenir compte en l’état. Il n’y a en définitive pas de baisse durable du bénéfice pour l'exercice en cours. Vu la fluctuation des revenus de P.________ et l'incertitude des données fournies, on ne saurait donc se baser, pour déterminer le revenu décisif, sur le gain de l'année précédente, la période de comparaison devant être plus longue. C'est donc avec raison que le premier juge a considéré que le bénéfice 2015 serait proche de celui de 2013 et, en tous les cas, supérieur à celui de 2014. Aucune modification essentielle, durable et pertinente ne peut être établie s’agissant du bénéfice de la société.</w:t>
      </w:r>
    </w:p>
    <w:p>
      <w:r>
        <w:rPr>
          <w:b/>
        </w:rPr>
        <w:t>E. 4</w:t>
      </w:r>
    </w:p>
    <w:p>
      <w:r>
        <w:t>- 22 -</w:t>
      </w:r>
    </w:p>
    <w:p>
      <w:r>
        <w:rPr>
          <w:b/>
        </w:rPr>
        <w:t>E. 4.1</w:t>
      </w:r>
    </w:p>
    <w:p>
      <w:r>
        <w:t>L'appelant fait valoir que le premier juge aurait violé le droit fédéral en fixant une contribution globale pour l'entretien des siens ; au stade des mesures provisionnelles, la contribution aurait au contraire dû être différenciée s'agissant des enfants et du conjoint.</w:t>
      </w:r>
    </w:p>
    <w:p>
      <w:r>
        <w:rPr>
          <w:b/>
        </w:rPr>
        <w:t>E. 4.2</w:t>
      </w:r>
    </w:p>
    <w:p>
      <w:r>
        <w:t>L’art. 5 al. 3 Cst. (Constitution fédérale de la Confédération suisse du 18 avril 1999 ; RS 101) impose aux parties au procès pénal de se comporter conformément aux règles de la bonne foi. Ces règles s’appliquent notamment aux droits procéduraux des parties. Ainsi, la partie qui s’aperçoit qu’une règle de procédure est violée à son détriment ne saurait laisser la procédure suivre son cours sans réagir, dans le but, par exemple, de se réserver un moyen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(cf. ATF 135 III 334 consid. 2.2 ; TF 1C_461/2010 du 31 janvier 2011 consid. 3.2 ; TF 6B_61/2010 du 27 juillet 2010 consid. 1.2).</w:t>
      </w:r>
    </w:p>
    <w:p>
      <w:r>
        <w:rPr>
          <w:b/>
        </w:rPr>
        <w:t>E. 4.3</w:t>
      </w:r>
    </w:p>
    <w:p>
      <w:r>
        <w:t>En l'espèce, il y a lieu de relever que, dans le cadre de la précédente procédure provisionnelle, le premier juge avait fixé une contribution globalement pour l’entretien de la famille – et non différenciée, malgré les conclusions de B.Z.________ tendant à la fixation d’une pension uniquement pour ses enfants (cf. ordonnance du 3 avril 2014, p. 26) –, sans que cela ne soit contesté ensuite en appel (cf. CACI 25 avril 2014/215). Conformément au principe précité, il appartenait toutefois à l'appelant de contester la méthode utilisée dans le cadre de cette précédente procédure, d'autant qu'elle était postérieure à la jurisprudence dont il se prévaut. Dans ces conditions, il ne saurait dès lors se prévaloir d'une autre méthode de calcul de la contribution au titre de circonstance nouvelle. On rappellera à cet égard que les parties ne peuvent pas invoquer, pour fonder leur requête en modification, une mauvaise</w:t>
      </w:r>
    </w:p>
    <w:p>
      <w:r>
        <w:t>- 23 -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les références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 Quoi qu’il en soit, si la jurisprudence du Tribunal fédéral tend à privilégier le calcul séparé des contributions pour les enfants et le conjoint, elle ne considère pas de manière claire que la solution contraire, qui correspond à la pratique vaudoise, serait pour autant arbitraire (TF 5A_743/2012 du 6 mars 2013 consid. 6.2.2). Une telle manière de procéder, largement répandue dans la pratique vaudoise, est en effet admissible vu le renvoi de l'art. 137 al. 2 aCC à l'art. 176 al. 1 ch. 1 et al. 3 CC, qui n'exige pas une indication séparée des montants attribués à chaque bénéficiaire (CACI 24 juin 2014/354 ; Tappy, Commentaire romand, n. 18 ad. art. 137 CC, note en bas de page 57, p. 1016). En outre, il ressort de la systématique du Code de procédure civile que l’art. 282 al. 1 let. b CPC, qui dispose que la convention ou la décision fixant des contributions d’entretien doit indiquer les montants attribués au conjoint et à chaque enfant, est applicable aux seules contributions d’entretien prévues dans le cadre d’un divorce (Tappy, CPC commenté, n. 5 ad art. 282 et 33 ad art. 277 CPC). Lorsque l’obligation d’entretien est ordonnée par voie de mesures protectrices de l’union conjugale, voire de mesures provisionnelles, les critères de fixation ne sont pas les mêmes que lorsque l’obligation résulte d’un jugement de divorce. Le montant de la contribution que le débirentier doit verser pour l’entretien de la famille répond aux principes du droit du mariage et non, par anticipation, aux règles applicables après divorce ; dans le cadre des mesures protectrices de l’union conjugale, respectivement des mesures provisionnelles, il s’agit dans toute la mesure du possible de maintenir la famille dans son train de</w:t>
      </w:r>
    </w:p>
    <w:p>
      <w:r>
        <w:t>- 24 - vie antérieur (Micheli et alii, Le nouveau droit du divorce, Lausanne 1999, nn. 419 p. 90 et 975 ss p. 208), famille que l’on prendra en considération dans sa globalité (cf. Juge délégué CACI 25 août 2014/449 c. 4).</w:t>
      </w:r>
    </w:p>
    <w:p>
      <w:r>
        <w:rPr>
          <w:b/>
        </w:rPr>
        <w:t>E. 4.4</w:t>
      </w:r>
    </w:p>
    <w:p>
      <w:r>
        <w:t>Il résulte de ce qui précède qu'il n'y a pas lieu de procéder à un nouveau calcul séparé des contributions d’entretien. L’examen des moyens invoqués par l'appelant, qui soutient qu'aucune contribution ne serait due à l'épouse, faute de conclusions subsidiaires de l'intimée, est dès lors superflu. Il en va de même des moyens relatifs au calcul des contributions en faveur des enfants selon les tabelles zurichoises (cf. déclaration d’appel, lettres c) et d), pp. 10-12).</w:t>
      </w:r>
    </w:p>
    <w:p>
      <w:r>
        <w:rPr>
          <w:b/>
        </w:rPr>
        <w:t>E. 5.1</w:t>
      </w:r>
    </w:p>
    <w:p>
      <w:r>
        <w:t>L'appelant conteste que les frais et dépens aient été mis entièrement à sa charge. Il met également en cause la quotité des dépens, qu’il qualifie d'exorbitante. Il reproche au premier juge de n’avoir pas appliqué l’art. 107 CPC pour s’écarter des règles générales lorsque le litige relève du droit de la famille.</w:t>
      </w:r>
    </w:p>
    <w:p>
      <w:r>
        <w:rPr>
          <w:b/>
        </w:rPr>
        <w:t>E. 5.2</w:t>
      </w:r>
    </w:p>
    <w:p>
      <w:r>
        <w:t>A teneur de l’art. 106 al. 1 CPC, les frais – qui comprennent les frais judiciaires et les dépens (art. 95 al. 1 CPC) – sont mis à la charge de la partie succombante. Ils sont fixés d’office (art. 105 CPC), selon le tarif (art. 96 CPC) des dépens en matière civile (TDC [tarif des dépens en matière civile du 23 novembre 2010 ; RSV 270.11.6]). En règle générale, la partie succombante (art. 106 al. 1 CPC) doit verser à la partie victorieuse tous les frais nécessaires causés par le litige (art. 37 al. 2 CDPJ [Code de droit privé judiciaire vaudois du 12 janvier 2010 ; RSV 211.02]). Une partie succombe entièrement au sens de l’art. 106 al. 1 CPC même si les prétentions de son adversaire sont aussi rejetées dans une proportion minime, pour autant que celui-ci obtienne gain de cause sur le principe de son action, notamment (Tappy, CPC commenté, n. 16 ad art. 106 CPC).</w:t>
      </w:r>
    </w:p>
    <w:p>
      <w:r>
        <w:t>- 25 - L’art. 107 CPC prescrit que le tribunal peut s’écarter des règles générales et répartir les frais selon sa libre appréciation. Il s’agit là d’une faculté. Ainsi, le juge peut en principe toujours examiner, même en matière de droit de la famille si une partie succombe entièrement ou partiellement et s’en tenir à la solution de l’art. 106 CPC (Tappy, CPC commenté, n. 16 ad art. 106 CPC)..</w:t>
      </w:r>
    </w:p>
    <w:p>
      <w:r>
        <w:rPr>
          <w:b/>
        </w:rPr>
        <w:t>E. 5.3</w:t>
      </w:r>
    </w:p>
    <w:p>
      <w:r>
        <w:t>En l’espèce, l’essentiel du présent litige se rapporte à la modification de la contribution d'entretien. La quasi-totalité de la longue audience de quatre heures du 17 août 2015 et les auditions de témoins menées à cette occasion ont été consacrées à cette question. La conclusion reconventionnelle de H.________ concernant la question de la provisio ad litem n’a été ainsi que très accessoire. Dès lors que l'appelant a succombé entièrement sur ses conclusions en modification de la pension, le premier juge n'a pas abusé de son pouvoir d'appréciation en mettant entièrement les frais et dépens à sa charge, en application de l’art. 106 al. 1 CPC. Le fait que la cause concerne une affaire de droit de la famille ne saurait à lui seul justifier qu’il faille s’écarter des règles générales, étant rappelé qu’il s’agit d’une faculté du juge. Quant à la quotité des dépens, elle ne prête pas davantage le flanc à la critique. Elle correspond à un peu plus de 11 heures de travail à 350 fr./heure, ce qui est adéquat compte tenu du fait que l’intimée a rédigé une détermination très substantielle de 35 pages et que l'audience de mesures provisionnelles du 17 août 2015 a duré à elle seule plusieurs heures. S’agissant d’une procédure portant sur des conclusions patrimoniales, dont la valeur litigieuse est bien supérieure à 30'000 fr., les honoraires ont été fixés dans la fourchette (cf. art. 6 TDC).</w:t>
      </w:r>
    </w:p>
    <w:p>
      <w:r>
        <w:rPr>
          <w:b/>
        </w:rPr>
        <w:t>E. 6</w:t>
      </w:r>
    </w:p>
    <w:p>
      <w:r>
        <w:t>En définitive, l'appel, manifestement infondé, doit être rejeté selon le mode procédural de l'art. 312 al. 1 CPC et l'ordonnance du 11 septembre 2015 confirmée.</w:t>
      </w:r>
    </w:p>
    <w:p>
      <w:r>
        <w:t>- 26 - Dès lors que l’appel était d’emblée dépourvu de chances de succès, la demande d’assistance judiciaire présentée par B.Z.________ doit être rejetée (art. 117 let. b CPC ; cf. Juge délégué CACI 23 mars 2012/149). Les frais judiciaires de deuxième instance, arrêtés à 600 fr. (art. 65 TFJC [tarif des frais judiciaires civils du 28 septembre 2010, RSV 270.11.5]), seront mis à la charge de l'appelant, qui succombe (art. 106 al. 1 CPC). Il n'y a pas lieu à l'allocation de dépens, l'intimée n'ayant pas été invitée à se déterminer. Par ces motifs, le juge délégué de la Cour d’appel civile du Tribunal cantonal, statuant en application de l'art. 312 al. 1 CPC, prononce : I. L’appel est rejeté. II. L’ordonnance est confirmée. III. La requête d’assistance judiciaire de l’appelant est rejetée. IV. Les frais judiciaires de deuxième instance, arrêtés à 600 fr. (six cents francs), sont mis à la charge de l’appelant B.Z.________. V. L’arrêt motivé est exécutoire. Le juge délégué : La greffière :</w:t>
      </w:r>
    </w:p>
    <w:p>
      <w:r>
        <w:t>- 27 - Du 20 octobre 2015 Le dispositif de l'arrêt qui précède est communiqué par écrit aux intéressés. La greffière : Du L'arrêt qui précède, dont la rédaction a été approuvée à huis clos, est notifié en expédition complète, par l'envoi de photocopies, à : - Me Robert Lei Ravello, avocat (pour B.Z.________), - Me Jean-Yves Schimdhauser, avocat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w:t>
      </w:r>
    </w:p>
    <w:p>
      <w:r>
        <w:t>- 28 -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