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TD13.025252 vom 11. Februar 2014</w:t>
      </w:r>
    </w:p>
    <w:p>
      <w:r>
        <w:t>VD Tribunal cantonal, 2014-02-11, FR</w:t>
      </w:r>
    </w:p>
    <w:p>
      <w:r>
        <w:rPr>
          <w:b/>
        </w:rPr>
        <w:t xml:space="preserve">Quelle: </w:t>
      </w:r>
      <w:r>
        <w:t>https://mcp.opencaselaw.ch/entscheid/vd_gerichte_TD13.025252</w:t>
      </w:r>
    </w:p>
    <w:p>
      <w:r>
        <w:t>FR: VD_GERICHTE TD13.025252 du 11 février 2014</w:t>
      </w:r>
    </w:p>
    <w:p>
      <w:r>
        <w:t>IT: VD_GERICHTE TD13.025252 del 11 febbraio 2014</w:t>
      </w:r>
    </w:p>
    <w:p>
      <w:pPr>
        <w:pStyle w:val="Heading2"/>
      </w:pPr>
      <w:r>
        <w:t>Erwägungen</w:t>
      </w:r>
    </w:p>
    <w:p>
      <w:r>
        <w:rPr>
          <w:b/>
        </w:rPr>
        <w:t>E. 43</w:t>
      </w:r>
    </w:p>
    <w:p>
      <w:r>
        <w:t>et les réf.). En l'espèce, s'agissant des pièces produites par l'intimé lors de l'audience d'appel du 11 février 2014, seuls le certificat médical du 20 janvier 2014 et la pièce relative à la taxe automobile du 3 janvier 2014 sont recevables. Les autres pièces auraient pu être produites à l'appui de la réponse déposée le 30 décembre 2013, voire pour certaines devant le premier juge, de sorte qu'elles sont irrecevables. 3. S'agissant des règles à appliquer, on relève que le divorce des parties a déjà été prononcé en Suède, sans toutefois que les effets accessoires ne soient réglés. La situation des parties est ainsi similaire à celle d'une entrée en force partielle du jugement de divorce, portant uniquement sur le principe du divorce, ou à un divorce sur requête commune avec accord partiel. Or, dans le cas d'une entrée en force partielle du jugement de divorce, le fondement de l'art. 163 CC applicable en matière de mesures protectrices de l'union conjugale et de mesures provisionnelles avant divorce demeure valable jusqu'à ce que les questions patrimoniales entrent en force, puisque les mesures provisoires s'appliquent jusqu'à l'entrée en force du divorce sur les questions</w:t>
      </w:r>
    </w:p>
    <w:p>
      <w:r>
        <w:t>- 11 - patrimoniales (Pichonnaz, Commentaire romand CC I, Bâle 2010, n. 12 ad art. 163 CC). A cela s'ajoute comme l'a relevé le premier juge que l'application des règles relatives aux mesures provisionnelles dans le cadre de la procédure de divorce se justifie dès lors que la question de la contribution d'entretien n'a pas encore été tranchée sur le fond et qu'une application de l'art. 125 CC à ce stade reviendrait à préjuger l'issue de la procédure. L'appelante ne remet du reste pas en cause l'appréciation du premier juge sur ce point. Ainsi, il y a bien lieu d'appliquer les règles relatives à l'entretien avant divorce. 4. L'appelante reproche au premier juge d'avoir accordé une pension à l'intimé uniquement en raison du fait que ce dernier n'avait plus de revenu. Dès lors qu'il était financièrement indépendant durant la vie commune et ne s'occupait d'aucune tâche, le premier juge n'aurait pas dû s'écarter de la convention des parties et lui allouer une pension. Selon elle, la répartition des rôles durant le mariage n'a notamment aucunement empêché l'intimé de travailler et de se former, de telle sorte qu'il conviendrait de lui imputer un revenu hypothétique. a) Il faut tout d'abord constater qu'un prononcé de mesures protectrices de l'union conjugale a été rendu le 7 janvier 2013 en Suisse, qui a réglé les relations des parties jusqu'à ce que l'ordonnance entreprise ne soit rendue (ATF 129 III 60 /JT 2003 I 45). Ainsi, en déposant sa requête de mesures provisionnelles du 11 juin 2013, l'intimé a sollicité dans les faits une modification du prononcé de mesures protectrices de l'union conjugale précité. b)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 CC, le juge ordonne les modifications commandées par les faits nouveaux et rapporte les mesures prises lorsque les causes qui les ont déterminées n'existent plus. Cette disposition s'applique également à la requête de mesures</w:t>
      </w:r>
    </w:p>
    <w:p>
      <w:r>
        <w:t>- 12 -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 3.2 et réf.). c)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537 c.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w:t>
      </w:r>
    </w:p>
    <w:p>
      <w:r>
        <w:t>- 13 -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 3.1 ; TF 5A_301/2011 du 1er décembre 2011 c. 5.1 ; TF 5A_475/2011 du 12 décembre 2011 c. 4.1).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 TF 5A_205/2010 du 12 juillet 2010 c. 4.2.3, publié in FamPra.ch 2010 p. 894 ; ATF 119 II 314 c. 4b/aa). Le juge peut ainsi être amené à adapter la convention conclue pour la vie commune, à la lumière de ces faits nouveaux (TF 5A_236/2011 du 18 octobre 2011 c. 4.2.3 ; sur le tout TF 5A_301/2011 du 1er décembre 2011 c. 5.1).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 3.1). d)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w:t>
      </w:r>
    </w:p>
    <w:p>
      <w:r>
        <w:t>- 14 -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 3.1, JT 2011 II 486; TF, 5A_588/2010 du 12 janvier 2011 c. 2.3). C'est pourquoi, le versement régulier</w:t>
      </w:r>
    </w:p>
    <w:p>
      <w:r>
        <w:t>- 15 -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 4.1., in FamPra.ch 2012 p. 500; TF 5A_99/2011 du 26 septembre 2011 c. 7.4.2; TF 5A_724/2009 du 26 avril 2010 c. 5.3, publié in FamPra.ch 2010 p. 673). Il en va de même de l'octroi d'un revenu d'insertion (CACI 12 décembre 2012/574 c.4.1). e) En l'espèce, la situation de l'intimé a changé depuis le prononcé de mesures protectrices rendu le 7 janvier 2013 puisqu'il ne perçoit plus d'indemnités de l'assurance-chômage depuis le 21 octobre 2013. Il se justifie dès lors de réexaminer la question du montant de la contribution d'entretien. Durant la vie commune, les époux ont vécu grâce à la fortune, et à ses revenus, de l'appelante. Cette dernière ne le conteste pas puisqu'elle fait valoir qu'elle s'est occupée seule des enfants et qu'elle a assumé seule leur entretien, son époux n'étant que peu présent. L'intimé disposait quant à lui d'un revenu, qu'il affectait, pour l'essentiel, à ses dépenses personnelles. Toutefois, la situation a changé et cette convention peut être modifiée. En application de l'art. 163 CC, qui demeure la cause de l'entretien, l'appelante peut en effet être tenue de participer d'une manière plus importante aux frais de la famille dans la mesure où l'intimé ne réalise plus de revenu. Ainsi, le fait que la répartition des rôles durant le mariage n'ait pas empêché l'intimé de se former et de travailler ne saurait, en soi, exclure toute obligation de l'appelante de contribuer à son entretien. Reste à déterminer s'il y a lieu d'imputer à ce dernier un revenu hypothétique. L'intimé, âgé de 56 ans, a été licencié au mois de mars 2012 pour des motifs économiques. Il a ensuite perçu des indemnités de l'assurance-chômage jusqu'au mois d'octobre 2013. Il ressort des documents intitulés "Preuves des recherches personnelles</w:t>
      </w:r>
    </w:p>
    <w:p>
      <w:r>
        <w:t>- 16 - effectuées en vue de trouver un emploi" qu'il a cherché activement une place de travail à raison de quatorze postulations par mois. Il se dit en outre ouvert à d'autres postes que ceux occupés précédemment. Il découle de l'instruction que l'intimé n'a pas renoncé volontairement à ses revenus. Il a ensuite effectué de nombreuses recherches d'emploi et a ainsi tout mis en œuvre afin de retrouver une activité salariée. En tenant compte également de son âge, de sa maîtrise moyenne du français et de la crise actuelle, en particulier dans le milieu bancaire, on peut considérer qu'il lui est très difficile de retrouver un emploi et dès lors qu'il n'est pas responsable de sa situation actuelle. Cela est d'autant plus vrai si l'on considère l'état de santé actuel de l'intimé. Certes, il doit poursuivre ses recherches avec assiduité dans le but de réaliser à terme à nouveau un revenu. Toutefois, en l'état et au vu des circonstances personnelles, il n'y a pas lieu de lui imputer un revenu hypothétique. L'argumentation de l'appelante sur ces différents points est ainsi infondée. 5. a) L'appelante soutient encore que l'intimé n'aurait pas démontré son train de vie dès lors qu'il n'a produit que quelques pièces relatives au loyer, au téléphone, à Billag, à l'ECA, et à Romande énergie. En particulier, ses frais d'assurance-maladie, de RC véhicule, d'habillement, de restaurant, d'habillement, de vacances et sa charge fiscale ne sont étayés par aucune pièce. b)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 ATF 118 II 376 c. 20b ; ATF 115 II 424 ; TF</w:t>
      </w:r>
    </w:p>
    <w:p>
      <w:r>
        <w:t>- 17 - 5A_205/2010 c. 4.2.3, publié in FamPra.ch 2010, p. 894 ; TF 5A_2/2008 du 19 juin 2008, publié in FamPra.ch 2008, p. 941 ; TF 5A_345/2007 du 22 janvier 2008, publié in FamPra.ch 2008, p. 621 ; Vetterli, in FamKomm Scheidung, Berne 2011, n. 29 ad art. 176 CC). La fixation de la contribution d’entretien ne doit en effet pas anticiper sur la liquidation du régime matrimonial. L’époux créancier peut donc prétendre à ce que la pension soit fixée de façon telle que son train de vie durant la vie commune soit maintenu (TF 5A.732/2007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op. cit., n. 29 ad art. 176 CC). C'est au créancier de la contribution d'entretien qu'il incombe de préciser les dépenses nécessaires à son train de vie et de les rendre vraisemblables (ATF 115 II 424 c. 2 ; TF 5A_732/2007 du 4 avril 2008 c. 2.2 ; TF 5A_475/2011 du 12 décembre 2011 c. 4.1), la maxime inquisitoire ne dispensant pas le crédirentier de son devoir de collaborer et donc de préciser les dépenses nécessaires à son train de vie et de rendre celles-ci vraisemblables (TF 5A_661/2011 du 16 février 2012 c. 4.2). Toutefois, les mesures protectrices de l’union conjugale et les mesures provisionnelles sont ordonnées à la suite d’une procédure sommaire, avec administration restreinte des moyens de preuve et limitation du degré de la preuve à la simple vraisemblance (ATF 127 III 474 c. 2b/bb ; ATF 120 II 352 c. 2b). Il suffit donc que les faits soient rendus plausibles. Le point de savoir si le degré de vraisemblance requis par le droit fédéral est atteint dans le cas particulier ressortit à l’appréciation des preuves (ATF 130 III 321 c. 5 ; TF 5A_508/2011 du 21 novembre 2011 c. 1.3). Dans le cadre de mesures</w:t>
      </w:r>
    </w:p>
    <w:p>
      <w:r>
        <w:t>- 18 - provisionnelles ou de mesures protectrices, le juge statue sur la base de la simple vraisemblance après une administration limitée des preuves, en se fondant sur les moyens de preuve immédiatement disponibles (ATF 131 III 473 c. 2.3 in limine ; TF 5A 497/2011 du 5 décembre 2011 c. 3.2 ; TF 5A_41/2011 du 10 août 2011 c. 4.2 in fine ; TF 5A_4/2011 du 9 août 2011 c. 3.2; TF 5A_720/2009 du 18 janvier 2010 c. 5.3), ce qui exclut notamment la mise en oeuvre d’une expertise financière sur les revenus d’une partie (CACI 6 février 2012/59 ; CACI 25 août 2011/211; Chaix, in Commentaire romand, Bâle 2010, n. 7 ad art. 176 CC). c) En l'espèce, l'appelante avait été astreinte à verser une contribution d'entretien de 2'500 fr. en faveur de l'intimé par prononcé de mesures protectrices du 7 janvier 2013. A cette époque, celui-ci bénéficiait d'indemnités de l'assurance-chômage de l'ordre de 8'257 fr. 10 brut par mois, soit 7'366 fr net en tenant compte des charges sociales de 10.78 %. Le premier juge avait considéré que le budget présenté par l'intimé ne permettait pas de définir clairement son train de vie mais qu'il se justifiait de lui attribuer une contribution d'entretien de 2'500 fr. afin qu'il puisse le maintenir. On en déduit que le juge des mesures protectrices avait estimé le train de vie de l'intimé à plus de 9'000 francs. Cette décision n'avait pas été remise en cause par l'appelante. Dans l'ordonnance entreprise, le premier juge a fixé la contribution d'entretien à 9'000 fr. par mois à partir du 1er novembre 2013 en se référant au train de vie de l'époux. Le premier juge a tenu compte des charges alléguées par l'intimé, à l'exception du poste "location Crans" qu'il a jugé superflu dans la mesure où son épouse disposait d'un chalet dans cette station, et a ainsi estimé ses dépenses mensuelles à 8'975 fr. 30, soit un montant inférieur à celui retenu dans le prononcé de mesures protectrices du 7 janvier 2013. Faute d'élément permettant de conclure que les dépenses nécessaires au maintien du train de vie de l'intimé se seraient réduites dans une mesure plus conséquente depuis le prononcé précité, cette appréciation n'est pas critiquable.</w:t>
      </w:r>
    </w:p>
    <w:p>
      <w:r>
        <w:t>- 19 - Par ailleurs s'il est vrai que l'intimé n'a pas étayé toutes les charges alléguées, on rappellera qu'au stade des mesures provisionnelles la vraisemblance suffit et que les frais allégués sont plausibles et n'ont rien d'exorbitants au vu de la situation des parties . Il en découle que l'estimation du train de vie de l'intimé effectuée par le premier juge ne prête pas le flanc à la critique. 6. En conclusion, l'appel doit être rejeté et l'ordonnance confirmée. Les frais judiciaires de deuxième instance, arrêtés à 1'500 fr. (art. 65 al. 4 TFJC [tarif des frais judiciaires civils du 28 septembre 2010; RSV 270.11.5]) sont mis à la charge de l'appelante. Celle-ci versera à l'intimé un montant de 2'000 fr. (art. 7 al. 1 TDC [tarif des dépens en matière civile du 23 novembre 2010]) à titre de dépens de deuxième instance. Par ces motifs, le juge délégué de la Cour d’appel civile du Tribunal cantonal, statuant à huis clos, prononce : I. L’appel est rejeté. II. L'ordonnance est confirmée. III. Les frais judiciaires de deuxième instance, arrêtés à 1'500 fr. (mille cinq cent francs) sont mis à la charge de l’appelante Mme J.________.</w:t>
      </w:r>
    </w:p>
    <w:p>
      <w:r>
        <w:t>- 20 - IV.L'appelante Mme J.________ doit verser à l'intimé M. J.________ la somme de 2'000 fr. (deux mille francs) à titre de dépens de deuxième instance.</w:t>
      </w:r>
    </w:p>
    <w:p>
      <w:r>
        <w:t>- 21 - V. L’arrêt est exécutoire. Le juge délégué : Le greffier : Du L'arrêt qui précède, dont la rédaction a été approuvée à huis clos, est notifié à : - Me Christine Marti (pour Mme J.________), - Me Violaine Jaccottet Sherif (pour M. J.________). Le juge délégué de la Cour d’appel civile considère que la valeur litigieuse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