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TD13.019986 vom 2. Februar 2015</w:t>
      </w:r>
    </w:p>
    <w:p>
      <w:r>
        <w:t>VD Tribunal cantonal, 2015-02-02, FR</w:t>
      </w:r>
    </w:p>
    <w:p>
      <w:r>
        <w:rPr>
          <w:b/>
        </w:rPr>
        <w:t xml:space="preserve">Quelle: </w:t>
      </w:r>
      <w:r>
        <w:t>https://mcp.opencaselaw.ch/entscheid/vd_gerichte_TD13.019986</w:t>
      </w:r>
    </w:p>
    <w:p>
      <w:r>
        <w:t>FR: VD_GERICHTE TD13.019986 du 2 février 2015</w:t>
      </w:r>
    </w:p>
    <w:p>
      <w:r>
        <w:t>IT: VD_GERICHTE TD13.019986 del 2 febbraio 2015</w:t>
      </w:r>
    </w:p>
    <w:p>
      <w:pPr>
        <w:pStyle w:val="Heading2"/>
      </w:pPr>
      <w:r>
        <w:t>Erwägungen</w:t>
      </w:r>
    </w:p>
    <w:p>
      <w:r>
        <w:rPr>
          <w:b/>
        </w:rPr>
        <w:t>E. 1</w:t>
      </w:r>
    </w:p>
    <w:p>
      <w:r>
        <w:t>Le requérant D.V.________, né le [...] 1965, et l'intimée E.V.________, née [...] le [...] 1968, ressortissants italiens, se sont mariés le [...][...] 2001 en Italie. Ils sont les parents de deux garçons : K.________, né le [...] 1999, et F.________, né le [...] 2003. Après avoir vécu en Italie, la famille s'est installée en Suisse en juillet 2010. ...]</w:t>
      </w:r>
    </w:p>
    <w:p>
      <w:r>
        <w:rPr>
          <w:b/>
        </w:rPr>
        <w:t>E. 2</w:t>
      </w:r>
    </w:p>
    <w:p>
      <w:r>
        <w:t>Les époux se sont séparés en mai 2011. Leur séparation a été réglée par un prononcé de mesures protectrices de l’union conjugale rendu le 5 avril 2012. Celui-ci a confié la garde des enfants K.________ et F.________ à D.V.________, dit qu'E.V.________ jouirait d’un libre droit de visite sur ses enfants et, qu’à défaut d’entente, elle pourrait les avoir auprès d’elle un week-end sur deux et la moitié des vacances scolaires, ordonné à E.V.________ de remettre à D.V.________ les cartes d’identité, passeports et permis de séjour des enfants et autorisé D.V.________ à résilier le bail du logement conjugal sis [...] à Pully. Ce prononcé a fait l’objet d’un appel interjeté par E.V.________, qui a été rejeté par arrêt de la Cour de céans du 28 juin 2012. Lors d'une audience de mesures protectrices de l’union conjugale du 10 avril 2013, les parties ont notamment convenu que le droit de visite d'E.V.________ sur ses enfants s'exercerait désormais par le biais du Point Rencontre.</w:t>
      </w:r>
    </w:p>
    <w:p>
      <w:r>
        <w:rPr>
          <w:b/>
        </w:rPr>
        <w:t>E. 2.4</w:t>
      </w:r>
    </w:p>
    <w:p>
      <w:r>
        <w:t>et les arrêts cités). A contrario, s’il n’existe pas de circonstances nouvelles, aucune modification ne peut être demandée. Au surplus, la décision de</w:t>
      </w:r>
    </w:p>
    <w:p>
      <w:r>
        <w:t>- 9 - mesures protectrices étant revêtue d’une autorité de la force de chose jugée limitée (ATF 127 III 474 c. 2b/aa), les parties ne peuvent pas invoquer, pour fonder leur requête en modification, une mauvaise appréciation des circonstances initiales, que le motif relève du droit ou de l’établissement des faits allégués sur la base des preuves déjà offertes (TF 5A_511/2010 du 4 février 2011 c. 2.1; TF 5A_618/2009 du 14 décembre 2009 c. 3.2.2). Pour faire valoir de tels motifs, seules les voies de recours sont ouvertes (TF 5A_147/2012 du 26 avril 2012 c. 4.2.1). c) En l'espèce, l’appelante serait fondée à s’opposer à l’introduction d’une pension à sa charge si la situation n’avait pas changé depuis le prononcé du 5 avril 2012. Il se trouve cependant qu’on lit dans ledit prononcé qu’elle gagnait alors 3'178 fr. 50 net, impôts déduits, alors qu’elle gagne désormais 5’343 fr. 85 net, impôts déduits. Cette circonstance, dont il y a lieu de tenir compte d’office s’agissant de la fixation d’une contribution en faveur d’enfants mineurs, justifie certainement une modification du régime de la prise en charge financière de ceux-ci. Ce moyen ne peut qu’être rejeté.</w:t>
      </w:r>
    </w:p>
    <w:p>
      <w:r>
        <w:rPr>
          <w:b/>
        </w:rPr>
        <w:t>E. 3</w:t>
      </w:r>
    </w:p>
    <w:p>
      <w:r>
        <w:t>Le 8 mai 2013, D.V.________ a ouvert action en divorce par demande unilatérale.</w:t>
      </w:r>
    </w:p>
    <w:p>
      <w:r>
        <w:t>- 4 -</w:t>
      </w:r>
    </w:p>
    <w:p>
      <w:r>
        <w:rPr>
          <w:b/>
        </w:rPr>
        <w:t>E. 4</w:t>
      </w:r>
    </w:p>
    <w:p>
      <w:r>
        <w:t>L’appelante reproche au premier juge de n'avoir pas pris en considération la situation financière de l’intimé et de ne pas avoir motivé sa décision de façon adéquate, ce qui constituerait une violation de son droit d’être entendue. En réalité, la situation financière de l'intimé a été exposée par le premier juge en pages 4 et 5 de la partie "En fait" de l’ordonnance entreprise et on comprend, dans la partie droit, que la contribution d’entretien a été fixée pour chacun des enfants à environ la moitié du montant disponible après déduction sur le revenu de l’appelante des postes constituant son minimum vital. On ne saurait dès lors parler de défaut de motivation et ce grief doit être rejeté.</w:t>
      </w:r>
    </w:p>
    <w:p>
      <w:r>
        <w:t>- 10 -</w:t>
      </w:r>
    </w:p>
    <w:p>
      <w:r>
        <w:rPr>
          <w:b/>
        </w:rPr>
        <w:t>E. 4.3</w:t>
      </w:r>
    </w:p>
    <w:p>
      <w:r>
        <w:t>p. 576; ATF 128 III 161 c. 2c/aa p. 162).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Il s’agit notamment des allocations familiales fondées sur les lois cantonales et des rentes pour enfants selon les art. 22ter al. 1 LAVS (loi fédérale sur l'assurance-vieillesse et survivants du 20 décembre 1946, RS 831.10), 35 LAI (loi fédérale sur l'assurance-invalidité du 19 juin 1959, RS 831.20) et 25 LPP (loi fédérale sur la prévoyance professionnelle du 25 juin 1982, RS 831.40). Affectées exclusivement à l’entretien de l’enfant, les prestations visées par l’art. 285 al. 2 CC ne sont pas prises en compte dans le calcul du revenu du parent qui les reçoit (TF 5A_76/2012 du 13 mars 2013 c. 5.2). En revanche, elles doivent être déduites des coûts d’entretien de l’enfant (TF 5A_207/2009 du 21 octobre 2009 c. 3.2 et les références, publié in: FamPra.ch 2010 p. 226). A l’inverse, les prestations accordées au parent lui-même, qui sont mises à sa libre disposition pour alléger son devoir d’entretien ou lui permettre de l’exécuter, ne tombent pas sous le coup de l’art. 285 al. 2 CC (Hegnauer, Berner Kommentar, 4e éd. 1997, n. 92 ad art. 285 CC). Elles ne doivent donc pas être déduites des besoins de l’enfant, mais constituent une composante du revenu du parent qui en bénéficie. Après déduction des prestations de tiers (art. 285 al. 2 CC), les besoins non couverts doivent être répartis entre les père et mère en fonction de leur capacité contributive respectives (TF 5A_186/2012 du 28 juin 2012 c. 6.2.1; TF 5C.127/2003 du 15 octobre 2003 c. 4.1.2). Toutefois,</w:t>
      </w:r>
    </w:p>
    <w:p>
      <w:r>
        <w:t>- 12 - le fait que le parent gardien apporte déjà une part de l’entretien en nature doit être pris en considération (Wullschleger, in FamKomm Scheidung, 2e éd., n. 59 ad art. 285 CC; Meier/Stettler, Droit de la filiation, 5e éd., 2014, n° 1083 p. 720 s.). Celui des parents dont la capacité financière est supérieure peut être tenu, suivant les circonstances, de subvenir à l’entier du besoin en argent si l’autre remplit son obligation à l’égard de l’enfant essentiellement en nature (ATF 120 Il 285 c. 3a/cc p. 289; TF 5A_386/2012 du 23 juillet 2012 c. 4.2.1 et les références). Il est également possible, dans certaines circonstances, d’exiger du parent gardien qu’il contribue à l’entretien de l’enfant, en sus des soins et de l’éducation, par des prestations en argent (ATF 120 II 285 c. 3a/cc p. 289; TF 5A_766/2010 du 30 mai 2011 c. 4.2.1). Lorsque la méthode du minimum vital avec répartition de l’excédent est appliquée, l’excédent après déduction du minimum vital doit être réparti à parts égales entre les époux si l’on est en présence de deux ménages d’une personne. Un partage par moitié ne se justifie pas si l’un des époux doit subvenir aux besoins d’enfants mineurs (ATF 126 II 8 c. 3c). Dans ce cas de figure, la répartition du solde disponible doit se faire selon une proportion équitable, généralement de 60 % ou de deux tiers pour le parent gardien (Juge délégué CACI 12 juin 2014/316 c. 6a et les références citées). La charge d’entretien doit rester équilibrée pour chacune des personnes concernées (Breitschmid, Basler Kommentar ZGB II, 4e éd., n. 13 ad art. 286 CC) et, en particulier, ne pas devenir excessivement lourde pour le parent débirentier qui aurait une condition modeste. Selon l’art. 285 aI. 1 CC, la contribution d’entretien doit en effet correspondre aux besoins de l’enfant ainsi qu’à la situation et aux ressources des père et mère, compte tenu de la fortune et des revenus de l’enfant, de même que de la participation de celui des parents qui n’a pas la garde de l’enfant à la prise en charge de ce dernier. Ces différents critères doivent être pris en considération; ils exercent une influence réciproque les uns sur les autres (ATF 134 III 337 c. 2.2.2). c) En l’espèce, l'intimé, qui a la garde de deux enfants âgés de respectivement 14 et 12 ans, dispose d’un revenu mensuel net de</w:t>
      </w:r>
    </w:p>
    <w:p>
      <w:r>
        <w:t>- 13 - 13'277 fr. 90, impôts déduits, auquel s'ajoute un bonus variable de 15'000 à 20'000 fr. par année, ce qui représente un revenu total arrondi de 15'000 fr. par mois. Ses charges incompressibles s'élèvent à un montant total de 10'793 francs, ce qui aboutit à un disponible de 4'207 francs. L'appelante, quant à elle, supporte des charges de 4'364 fr. au total, pour un salaire mensuel net de 5'343 fr., ce qui représente un disponible de 979 fr. par mois. Si l'on tient compte d'un minimum vital élargi de 1'440 fr., comme l'a fait le premier juge, le disponible de l'appelante s'élève à 739 francs. Le disponible global du couple s'élève ainsi à 5'186 fr. (soit 4'207 fr. + 979 fr.), ou 4'946 fr. avec un minimum vital élargi pour l'appelante. Au vu du fait que l'intimé a la garde des enfants du couple, il convient de répartir le disponible global à raison de 60 % pour l'intimé, soit 3'111 fr., et 40 % pour l'appelante, soit 2'074 francs, ou 1'978 fr. avec un minimum vital élargi. Ainsi, même si l’appelante n’a pas de pension à sa charge, son disponible reste inférieur à la part du disponible global habituellement attribuée à celui des parents qui n’a pas la garde des enfants (40 % ou un tiers). Il s’avère ainsi qu’en chargeant l’appelante d’une contribution d’entretien en faveur de ses enfants, la proportion consacrée par la jurisprudence dans la répartition du disponible se trouve rompue. Cela conduit à l’admission de l’appel en ce sens que la contribution en faveur des enfants est supprimée.</w:t>
      </w:r>
    </w:p>
    <w:p>
      <w:r>
        <w:rPr>
          <w:b/>
        </w:rPr>
        <w:t>E. 5</w:t>
      </w:r>
    </w:p>
    <w:p>
      <w:r>
        <w:t>L’appelante fait en outre valoir qu’il n’a pas été fait droit à ses réquisitions en production de pièces destinées à établir le revenu de l’intimé. On constate cependant qu’avec ses déterminations du 23 septembre 2014, l’appelante a produit diverses pièces relatives au revenu de l’intimé, sans toutefois présenter de réquisitions en production de pièces. A l’audience du 24 septembre 2014, elle ne s’est pas présentée et aucune réquisition n’a été formée par son conseil, même s'il ressort du procès-verbal de cette audience que ledit conseil a interpellé l'intimé au sujet de pièces attestant du montant de son bonus et de ses stock-options. On ne saisit ainsi pas de quoi se plaint l’appelante en relation avec des pièces qu’elle ne désigne pas.</w:t>
      </w:r>
    </w:p>
    <w:p>
      <w:r>
        <w:rPr>
          <w:b/>
        </w:rPr>
        <w:t>E. 6</w:t>
      </w:r>
    </w:p>
    <w:p>
      <w:r>
        <w:t>a) L’appelante soutient ensuite, sans remettre en cause les montants retenus par le premier juge concernant sa propre situation financière, que l’importance du revenu de l’intimé exclut qu’elle doive contribuer à l’entretien de ses enfants. L'intimé fait quant à lui valoir que la situation financière des parties a été prise en compte par le premier juge, et qu'il assume tous les frais des enfants. b)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(ATF 128 III 411 c. 3.2.2 p. 414 s.); sa fixation relève de l’appréciation du juge, qui jouit d’un large pouvoir d’appréciation (ATF 127 III 136 c. 3a p. 141; ATF 120 Il 285 c. 3b/bb p. 291; TF 5A_507/2007 du 23</w:t>
      </w:r>
    </w:p>
    <w:p>
      <w:r>
        <w:t>- 11 - avril 2008 c. 5.1) et applique les règles du droit et de l’équité (art. 4 CC; ATF 127 III 136 c. 3a p. 141).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(ATF 132 III 178 c. 5.1 p. 183; ATF 130 III 571 c.</w:t>
      </w:r>
    </w:p>
    <w:p>
      <w:r>
        <w:rPr>
          <w:b/>
        </w:rPr>
        <w:t>E. 7</w:t>
      </w:r>
    </w:p>
    <w:p>
      <w:r>
        <w:t>a) L’appelante se plaint enfin de ce qu’une provisio ad litem lui a été refusée. b) D’après la jurisprudence, une provision ad litem est due au conjoint qui ne dispose pas lui-même des moyens suffisants pour assumer les frais du procès en divorce; le juge ne peut toutefois imposer cette obligation que dans la mesure où son exécution n’entame pas le minimum nécessaire à l’entretien du conjoint débiteur et des siens (ATF 103 la 99 c. 4; TF 5A_784/2008 du 20 novembre 2009 c. 2). Le fondement de cette</w:t>
      </w:r>
    </w:p>
    <w:p>
      <w:r>
        <w:t>- 14 - prestation - devoir d’assistance (art. 59 al. 3 CC) ou obligation d’entretien (art. 163 CC) - est controversé, mais cet aspect n’a pas d’incidence sur les conditions qui président à son octroi (ATF 138 III 672 c. 4.2.1). L’obligation de fournir une provision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les références citées). La provisio ad litem, qui constitue en définitive une prétention en entretien de l'un des époux, est soumise au principe de disposition (TF 5A_704/2013 c. 3.4, non publié in ATF 140 III 231). c) En l'espèce, comme l’a retenu le premier juge, l’appelante n’a rien établi, notamment par pièces, au sujet de sa situation financière, de sorte qu’on ignore notamment si elle dispose d’une fortune excluant son droit à une provisio ad litem. S’agissant d’une part de l’entretien de l’épouse, qui relève du principe de disposition, il n’y a pas à requérir d’office la production de pièces à ce sujet. Dès lors, mal fondé, ce grief doit être rejeté.</w:t>
      </w:r>
    </w:p>
    <w:p>
      <w:r>
        <w:rPr>
          <w:b/>
        </w:rPr>
        <w:t>E. 8</w:t>
      </w:r>
    </w:p>
    <w:p>
      <w:r>
        <w:t>a) En définitive, l'appel doit être partiellement admis et l'ordonnance réformée en ce sens que E.V.________ n'est pas tenue de contribuer à l'entretien de ses enfants K.________ et F.________. Les frais judiciaires de première instance, dont la quotité arrêtée à 400 fr. par le premier juge peut être confirmée (art. 61 al. 1</w:t>
      </w:r>
    </w:p>
    <w:p>
      <w:r>
        <w:t>- 15 - TFJC), seront mis à la charge du requérant D.V.________, qui succombe (art. 106 al. 1 CPC). Le requérant versera en outre à l'intimée la somme de 1'200 fr. à titre de dépens de première instance (art. 6 TDC [tarif des dépens en matière civile du 23 novembre 2010, RSV 270.11.6]). b) Vu l'issue du litige, les frais judiciaires de deuxième instance, arrêtés à 600 fr. (art. 65 al. 2 TFJC), seront mis à la charge de l'appelante E.V.________ par 150 fr. et à la charge de l'intimé D.V.________ par 450 francs. L’appelante obtient gain de cause sur la question de la contribution d’entretien mais non pas sur la provisio ad litem. Elle a droit à des dépens réduits d’un quart, fixés à 750 fr. (art. 8 TDC). L'intimé lui versera ainsi la somme de 1'200 fr. à titre de dépens réduits et de restitution d'avance de frais de deuxième instance. Par ces motifs, le juge délégué de la Cour d’appel civile du Tribunal cantonal, statuant à huis clos, prononce : I. L’appel est partiellement admis. II. L'ordonnance est réformée comme il suit: I. dit que E.V.________ n'est pas tenue de contribuer à l'entretien de ses enfants K.________ et F.________. II. arrête les frais judiciaires à 400 fr. (quatre cents francs) et les met à la charge de D.V.________.</w:t>
      </w:r>
    </w:p>
    <w:p>
      <w:r>
        <w:t>- 16 - III. dit que D.V.________ doit verser à E.V.________ la somme de 1'200 fr. (mille deux cents francs) à titre de dépens. IV. rejette toutes autres ou plus amples conclusions. III. Les frais judiciaires de deuxième instance, arrêtés à 600 fr. (six cents francs), sont mis à la charge de l'appelante par 150 fr. (cent cinquante francs) et à la charge de l'intimé par 450 fr. (quatre cent cinquante francs). IV. D.V.________ doit verser à E.V.________ la somme de 1'200 fr. (mille deux cents francs) à titre de dépens et de restitution d'avance de frais de deuxième instance. V. L'arrêt motivé est exécutoire. Le juge délégué : La greffière : Du 4 février 2015 Le dispositif de l'arrêt qui précède est communiqué par écrit aux intéressés. La greffière :</w:t>
      </w:r>
    </w:p>
    <w:p>
      <w:r>
        <w:t>- 17 - Du L'arrêt qui précède, dont la rédaction a été approuvée à huis clos, est notifié en expédition complète, par l'envoi de photocopies à : - Me Damien Hottelier (pour E.V.________), - Me Marc-Aurèle Vollenweider (pour D.V.________).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