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TD12.036842 vom 7. Februar 2013</w:t>
      </w:r>
    </w:p>
    <w:p>
      <w:r>
        <w:t>VD Tribunal cantonal, 2013-02-07, FR</w:t>
      </w:r>
    </w:p>
    <w:p>
      <w:r>
        <w:rPr>
          <w:b/>
        </w:rPr>
        <w:t xml:space="preserve">Quelle: </w:t>
      </w:r>
      <w:r>
        <w:t>https://mcp.opencaselaw.ch/entscheid/vd_gerichte_TD12.036842</w:t>
      </w:r>
    </w:p>
    <w:p>
      <w:r>
        <w:t>FR: VD_GERICHTE TD12.036842 du 7 février 2013</w:t>
      </w:r>
    </w:p>
    <w:p>
      <w:r>
        <w:t>IT: VD_GERICHTE TD12.036842 del 7 febbraio 2013</w:t>
      </w:r>
    </w:p>
    <w:p>
      <w:pPr>
        <w:pStyle w:val="Heading2"/>
      </w:pPr>
      <w:r>
        <w:t>Erwägungen</w:t>
      </w:r>
    </w:p>
    <w:p>
      <w:r>
        <w:rPr>
          <w:b/>
        </w:rPr>
        <w:t>E. 3</w:t>
      </w:r>
    </w:p>
    <w:p>
      <w:r>
        <w:t>Une fois que des mesures provisionnelles dans la procédure en divorce ont été ordonnées, elles ne peuvent être modifiées qu'aux conditions de l'art. 179 CC (Code civil suisse du 10 décembre 1907; RS 210), applicable par renvoi de l'art. 276 al. 1 CPC. Aux termes de l'art. 179 al. 1 première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w:t>
      </w:r>
    </w:p>
    <w:p>
      <w:r>
        <w:t>- 9 -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5A_883/2011 du 20 mars 2012 c. 2.4).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TF 5A_324/2012 du 15 août 2012 c. 5).</w:t>
      </w:r>
    </w:p>
    <w:p>
      <w:r>
        <w:rPr>
          <w:b/>
        </w:rPr>
        <w:t>E. 4</w:t>
      </w:r>
    </w:p>
    <w:p>
      <w:r>
        <w:t>L'appelant requiert une réduction du montant de la contribution d'entretien mise à sa charge.</w:t>
      </w:r>
    </w:p>
    <w:p>
      <w:r>
        <w:rPr>
          <w:b/>
        </w:rPr>
        <w:t>E. 4.1</w:t>
      </w:r>
    </w:p>
    <w:p>
      <w:r>
        <w:t>a) L'appelant estime que ses charges essentielles ont été mal calculées par le premier juge. Il fait valoir qu'elles se montent à 3'741 fr.</w:t>
      </w:r>
    </w:p>
    <w:p>
      <w:r>
        <w:rPr>
          <w:b/>
        </w:rPr>
        <w:t>E. 4.2</w:t>
      </w:r>
    </w:p>
    <w:p>
      <w:r>
        <w:t>a) L'intimée conteste en substance que l'on tienne compte de la charge fiscale de l'appelant, dès lors que le calcul qui a été effectué par l'autorité de taxation paraît erroné. b) Si les moyens des parties sont limités par rapport aux besoins vitaux, il n'y a pas lieu de prendre en considération les impôts courants, qui ne font pas partie des besoins vitaux (ATF 127 III 289 c. 2a/bb; ATF 126 III 353 c. 1a/aa). Ceci ne saurait toutefois valoir lorsque le débirentier est imposé à la source, dès lors que le montant de cet impôt est déduit de son salaire sans qu'il puisse s'y opposer (TF 5A_352/2010 du 29 octobre 2010 c. 5.3, RMA 2011 p. 126; TF 5A_592/2011 du 31 janvier 2012 c. 4.2). Est décisif à cet égard le fait qu'une retenue fiscale pour l'année en cours soit directement opérée par l'employeur sur le revenu mensuel versé au débiteur, peu important que le débiteur ne soit pas imposé à la source et qu'une taxation doive encore intervenir (TF 5A_592/2011 précité c. 4.2). c) En l'espèce, l'appelant se voit retenir 661 fr. par mois à titre d'imposition à la source. Ce taux d'imposition pourrait être dû au fait que l'appelant a omis d'indiquer clairement dans sa déclaration fiscale qu'il était père de trois enfants car le taux de 12.71% correspond à celui appliqué aux célibataires sans enfant réalisant un revenu annuel brut compris entre 67'201 fr. et 67'800 fr. (http://www. vd.ch/fileadmin/user_upload/organisation/dfin/aci/fichiers_pdf/21033_Tarif_ AB_2012.pdf). Quoiqu'il en soit, l'appelant a fait les démarches idoines auprès de l'administration cantonale des impôts par l'intermédiaire de son conseil pour revoir sa situation. Tenir compte d'une retenue inférieure en l'état reviendrait à lui imputer une situation hypothétique au stade des mesures provisionnelles, ce qui ne serait pas admissible.</w:t>
      </w:r>
    </w:p>
    <w:p>
      <w:r>
        <w:rPr>
          <w:b/>
        </w:rPr>
        <w:t>E. 4.3</w:t>
      </w:r>
    </w:p>
    <w:p>
      <w:r>
        <w:t>Le premier juge a tenu compte d'un montant de 420 fr. 50 pour l'assurance-maladie obligatoire.</w:t>
      </w:r>
    </w:p>
    <w:p>
      <w:r>
        <w:t>- 12 - En effet, sont comprises dans les charges les primes d'assurance-maladie obligatoire. En cas d'accord des parties, les assurances complémentaires peuvent être intégrées dans le budget des parties (Chaix, Commentaire romand, Code civil I, n. 9 ad art. 176 CC; Juge délégué CACI 18 avril 2011/53). Tel est le cas également lorsque l'état de santé d'un époux est gravement atteint (Juge délégué CACI 4 mai 2011/65). Sinon, les assurances non obligatoires ne sont pas prises en compte (ATF 134 III 323 c. 3). En l'espèce, le montant de 420 fr. 50 correspond à 391 fr. d'assurance maladie obligatoire et à 29 fr. 50 d'assurance-accident. Seul le premier des deux montants doit être pris en compte dans les charges de l'appelant, le second correspondant à une assurance complémentaire qui n'est à priori pas obligatoire, l'appelant étant assuré contre les accidents non professionnels par son employeur.</w:t>
      </w:r>
    </w:p>
    <w:p>
      <w:r>
        <w:rPr>
          <w:b/>
        </w:rPr>
        <w:t>E. 4.4</w:t>
      </w:r>
    </w:p>
    <w:p>
      <w:r>
        <w:t>En conclusion, les charges de l'appelant s'élèvent à 3'559 fr. et se décomposent comme suit : Minimum vital 1'200 fr. Droit de visite 150 fr. Loyer 1'552 fr. Assurance maladie obligatoire 391 fr. Repas 200 fr. Transports (Bus) 66 fr. Total 3'559 fr. Au regard de ce qui précède, et si l'on tient compte – comme l'a fait le premier juge – du salaire mensualisé de l'appelant, par 4'114 fr. 70, l'appelant bénéficie d'un disponible mensuel de 555 fr. 70 (4'114 fr. 70 – 3'559 fr.). En conclusion, le versement d'une pension de 600 fr. représente ainsi une atteinte au minimum vital de l'appelant à concurrence de 44 fr. 30 par mois, qui justifie que l'on réduise à 550 fr. la contribution d'entretien mensuelle versée aux siens, sous réserve de la problématique liée à la mensualisation du 13ème salaire (cf. c. 5 ci- dessous).</w:t>
      </w:r>
    </w:p>
    <w:p>
      <w:r>
        <w:t>- 13 -</w:t>
      </w:r>
    </w:p>
    <w:p>
      <w:r>
        <w:rPr>
          <w:b/>
        </w:rPr>
        <w:t>E. 05</w:t>
      </w:r>
    </w:p>
    <w:p>
      <w:r>
        <w:t>par mois dès lors qu'il convient de rajouter un montant de 348 fr. 55 au titre des frais de transport. Selon lui, la voiture lui procure un avantage certain, surtout lors de l'exercice des relations personnelles qui ont lieu dès le vendredi soir 18 heures 30. A titre subsidiaire, il allègue que s'il devait se rendre au travail en transport public, il y aurait lieu d'intégrer dans ses charges son abonnement de bus et les frais de repas pris à l'extérieur. b) Selon la jurisprudence,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w:t>
      </w:r>
    </w:p>
    <w:p>
      <w:r>
        <w:t>- 10 - raisonnablement exigée de l'intéressé (TF 5A_383/2007 du 9 novembre 2007 c. 2.3; TF 5P.238/2005 du 28 novembre 2005). Cette règle ne vaut que lorsqu'on s'en tient au minimum d'existence LP (TF 5A_46/2009 du 22 mai 2009 c. 6.3). En outre,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(TF 5A_703/2011 du 7 mars 2012 c. 4.2; TF 5A_608/2011 du 13 décembre 2011 c. 6.2.4). c) En l'espèce, le premier juge n'a pas discuté la question des frais de transport alors même qu'ils ont été allégués. L'appelant explique que le trajet entre son domicile et son lieu de travail est de 16 km et qu'il gagne environ une demie heure par trajet en l'effectuant en voiture. S'il ne fait pas de doute, comme le plaide l'appelant, que l'utilisation de son véhicule lui procure un avantage certain, on ne saurait aller jusqu'à considérer que ces frais sont indispensables. Ils s'élèvent à 418 fr. 55, si l'on tient compte de la place de parc, ce qui est manifestement disproportionné par rapport au revenu et au disponible de l'appelant. La problématique liée à l'exercice des relations personnelles le vendredi soir, dont les parties ont convenu qu'elles commenceraient à 18 heures 30, doit pouvoir trouver une autre solution que celle consistant en une telle dépense. Par contre, il conviendra de retenir en lieu et place des frais de véhicule le prix d'un abonnement général de bus par 66 fr. comme indiqué par l'appelant. L'appelant demande également qu'il soit tenu compte de ses frais de repas pris à l'extérieur pour le cas où il ne pourrait plus bénéficier de son véhicule privé. Il les estime à 200 fr. par mois. Ce montant est adéquat compte tenu des Lignes directrices pour le calcul du minimum vital du droit des poursuites selon l'art. 93 LP (loi fédérale du 11 avril 1889 sur la poursuite pour dettes et la faillite; RS 281.1) du 1er juillet 2009 édictées par la Conférence des préposés aux poursuites et faillites de Suisse, ad ch. II "Suppléments au montant de base mensuel", et il peut en être tenu compte (Juge délégué CACI 4 mai 2011/65).</w:t>
      </w:r>
    </w:p>
    <w:p>
      <w:r>
        <w:t>- 11 -</w:t>
      </w:r>
    </w:p>
    <w:p>
      <w:r>
        <w:rPr>
          <w:b/>
        </w:rPr>
        <w:t>E. 5</w:t>
      </w:r>
    </w:p>
    <w:p>
      <w:r>
        <w:t>a) Dans un second moyen, l'appelant soutient que le revenu retenu par l'autorité de première instance pour examiner la limite de son minimum vital est erroné car il part de la fiction que le 13ème salaire est versé chaque mois. b) Selon l'art. 176 al. 1 ch. 1 CC, le juge fixe la contribution pécuniaire à verser par l'une des parties à l'autre. Il le fait en application de l'art. 163 al. 1 CC. Le montant de la contribution d'entretien se détermine en fonction des facultés économiques et des besoins respectifs des époux. Le revenu net du parent contributeur comprend le produit du travail salarié ou indépendant, les revenus de la fortune, les gratifications – pour autant qu'elles constituent un droit du salarié –, le 13ème salaire, les avantages salariaux, par exemple sous forme de véhicule, d'indemnité pour travail en équipe, de frais de représentation – s'ils ne correspondent pas à des frais effectifs encourus par le travailleur –, et les heures supplémentaires (Meier/Stettler, Droit de la filiation, 4ème éd., n. 982, p. 571 note infrapaginale 2118; Chaix, op. cit., n. 7 ad art. 176 CC). Il n'est pas exclu de répartir la charge de la contribution d'entretien sur 13 mois, afin d'éviter que le minimum vital du débiteur ne soit préservé qu'au moment où son 13ème salaire lui est versé (Juge délégué CACI 2 décembre 2011/387). c) En l'espèce, on l'a vu, si l'on tient compte d'un salaire mensualisé, le budget de l'appelant présente un excédent de 555 fr. 70 (4'114 fr. 70 – 3'559 fr.) qui justifie que l'on réduise à 550 fr. la contribution d'entretien mensuelle versée aux siens. Si, comme le plaide l'appelant, on ne tient compte que du revenu mensuel qui lui est versé, soit 3'798 fr. 25, alors l'appelant ne peut pas s'acquitter mensuellement de la pension de 550 fr. sans entamer son minimum vital. Cependant, la solution préconisée par l'appelant, soit le versement de 13 contributions d'entretien par année, n'est pas opportune dans le cas d'espèce. Elle</w:t>
      </w:r>
    </w:p>
    <w:p>
      <w:r>
        <w:t>- 14 - aurait en effet pour conséquence de faire bénéficier l'intimée d'un revenu mensuel de 239 fr. 25, le solde par 3'729 fr. devant être versé en décembre [(550 fr. x 12) – (239 fr. 25 x 12)]. Or la situation financière de l'intimée n'est pas suffisamment favorable pour qu'elle puisse renoncer au versement régulier de la pension. Par ailleurs, au vu de l'accord partiel intervenu entre les parties dans la procédure au fond sur le principe et les effets accessoires du divorce lors de l'audience de conciliation du 29 octobre 2012, le divorce des époux est sur le point d'être prononcé, si bien qu'il est fort probable qu'en adoptant cette solution, on prive de facto les enfants de l'intimée de la pension qui leur revient. Il s'agit dès lors de retenir qu'il appartenait à l'appelant, au moment où son 13ème salaire a été versé, de considérer qu'il devait être économisé pour pouvoir assumer les contributions d'entretien futures sans porter atteinte à son minimum vital. Le moyen doit dès lors être rejeté.</w:t>
      </w:r>
    </w:p>
    <w:p>
      <w:r>
        <w:rPr>
          <w:b/>
        </w:rPr>
        <w:t>E. 6</w:t>
      </w:r>
    </w:p>
    <w:p>
      <w:r>
        <w:t>En conclusion, l'appel doit être partiellement admis et l'ordonnance entreprise réformée dans le sens que la contribution d'entretien due par A.O.________ est ramenée à 550 fr. par mois dès le 1er octobre 2012, première échéance suivant le dépôt de la requête de mesures provisionnelles. Cette modification mineure ne justifie pas que l'on modifie les dépens alloués en première instance. Vu l'issue du litige, les frais judiciaires de deuxième instance, arrêtés à 746 fr. (soit 600 fr. d'émolument plus 146 fr. de frais d'interprète; art. 65 al. 2 et 91 TFJC [tarif des frais judiciaires civils du 28 septembre 2010; RSV 270.11.5]), doivent être répartis à raison de 670 fr. pour l'appelant et de 76 fr. pour l'intimée (art. 106 al. 2 CPC) et laissés à la charge de l'Etat dès lors que l'assistance judiciaire a été accordée aux deux parties (art. 122 CPC). L'appel étant très partiellement admis, l'intimée a droit à des dépens réduits de deuxième instance (art. 122 al. 1 let. d CPC), arrêtés à</w:t>
      </w:r>
    </w:p>
    <w:p>
      <w:r>
        <w:t>- 15 - 1'000 fr. (art. 2, 3 et 7 TDC [tarif des dépens en matière civile du 23 novembre 2010; RSV 270.11.6]). Le conseil de l'appelant a produit une liste de ses opérations, dont il ressort qu'il a consacré une durée de 4 heures et 43 minutes de travail à l'exercice du mandat et supporté un montant de 46 fr. 90 au titre de débours. Au vu des opérations figurant dans la liste, cette durée et ce montant apparaissent justifiés. Au tarif horaire de 180 fr. (art. 2 al. 1 let. a RAJ [règlement sur l'assistance judiciaire en matière civile du 7 décembre 2010; RSV 211.02.3]), l'indemnité d'honoraires de l'avocate Mélanie Freymond doit être fixée à 855 fr., plus 68 fr. 40 de TVA à 8%, soit une indemnité totale de 923 fr. 40, montant auquel il convient d'ajouter les débours, par 46 fr. 90, soit un montant global de 970 fr. 30. Le conseil de l'intimée a produit une liste de ses opérations, dont il ressort qu'il a consacré une durée de 5 heures de travail à l'exercice du mandat et supporté un montant de 50 fr. de débours. Au vu des opérations figurant dans la liste, cette durée et ce montant apparaissent justifiés. Au tarif horaire de 180 fr. (art. 2 al. 1 let. a RAJ), l'indemnité d'honoraires de l'avocate Joëlle Zimmermann doit être fixée à 900 fr., plus 72 fr. de TVA à 8%, soit une indemnité totale de 972 fr., montant auquel il convient d'ajouter les débours, par 50 fr., soit un montant global de 1'022 francs. Les bénéficiaires de l'assistance judiciaire sont, dans la mesure de l'art. 123 CPC, tenus au remboursement des frais judiciaires et de l'indemnité à leur conseil d'office mis à la charge de l'Etat.</w:t>
      </w:r>
    </w:p>
    <w:p>
      <w:r>
        <w:t>- 16 - Par ces motifs, la juge déléguée de la Cour d'appel civile du Tribunal cantonal, statuant à huis clos, prononce : I. L'appel est partiellement admis. II. L'ordonnance est réformée comme il suit au chiffre I de son dispositif et complétée par le chiffre Ibis : I. La requête de mesures provisionnelles déposée le 11 septembre 2012 par A.O.________ est partiellement admise. Ibis A.O.________ contribuera à l'entretien des siens par le versement d'une pension mensuelle de 550 fr. (cinq cent cinquante francs), allocations familiales non comprises, payable d'avance le premier jour de chaque mois, dès et y compris le 1er octobre 2012, sur le compte [...] de B.O.________. L'ordonnance est confirmée pour le surplus. III. Les frais judiciaires de deuxième instance, arrêtés à 670 fr. (six cent septante francs) pour l'appelant et à 76 fr. (septante-six francs) pour l'intimée, sont laissés à la charge de l'Etat. IV. L'indemnité d'office de Me Mélanie Freymond, conseil de l'appelant, est arrêtée à 970 fr. 30 (neuf cent septante francs et trente centimes), TVA et débours compris, et celle de Me Joëlle Zimmermann, conseil de l'intimée, à 1'022 fr. (mille vingt-deux francs), TVA et débours compris.</w:t>
      </w:r>
    </w:p>
    <w:p>
      <w:r>
        <w:t>- 17 - V. Les bénéficiaires de l'assistance judiciaire sont, dans la mesure de l'art. 123 CPC, tenus au remboursement des frais judiciaires et de l'indemnité au conseil d'office mis à la charge de l'Etat. VI. L'appelant A.O.________ doit verser à l'intimée B.O.________ la somme de 1'000 fr. (mille francs) à titre de dépens de deuxième instance. VII. L'arrêt motivé est exécutoire. La juge déléguée : Le greffier : Du 8 février 2013 Le dispositif de l'arrêt qui précède est communiqué par écrit aux intéressés. Le greffier : Du L'arrêt qui précède, dont la rédaction a été approuvée à huis clos, est notifié en expédition complète, par l'envoi de photocopies à : - Me Mélanie Freymond (pour A.O.________), - Me Joëlle Zimmermann (pour B.O.________).</w:t>
      </w:r>
    </w:p>
    <w:p>
      <w:r>
        <w:t>- 18 -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