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TD12.030423 vom 11. Juni 2013</w:t>
      </w:r>
    </w:p>
    <w:p>
      <w:r>
        <w:t>VD Tribunal cantonal, 2013-06-11, FR</w:t>
      </w:r>
    </w:p>
    <w:p>
      <w:r>
        <w:rPr>
          <w:b/>
        </w:rPr>
        <w:t xml:space="preserve">Quelle: </w:t>
      </w:r>
      <w:r>
        <w:t>https://mcp.opencaselaw.ch/entscheid/vd_gerichte_TD12.030423</w:t>
      </w:r>
    </w:p>
    <w:p>
      <w:r>
        <w:t>FR: VD_GERICHTE TD12.030423 du 11 juin 2013</w:t>
      </w:r>
    </w:p>
    <w:p>
      <w:r>
        <w:t>IT: VD_GERICHTE TD12.030423 del 11 giugno 2013</w:t>
      </w:r>
    </w:p>
    <w:p>
      <w:pPr>
        <w:pStyle w:val="Heading2"/>
      </w:pPr>
      <w:r>
        <w:t>Erwägungen</w:t>
      </w:r>
    </w:p>
    <w:p>
      <w:r>
        <w:rPr>
          <w:b/>
        </w:rPr>
        <w:t>E. 43</w:t>
      </w:r>
    </w:p>
    <w:p>
      <w:r>
        <w:t>et les réf.).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 En l'espèce, le certificat de salaire du mois de décembre 2012 de l’appelant est recevable dès lors que son examen concerne le calcul de la contribution d’entretien due pour les enfants mineurs des parties. 3. Selon l'art. 276 al. 1 CPC, dans le cadre du procès en divorce, le tribunal ordonne les mesures provisionnelles nécessaires, les dispositions régissant la protection de l'union conjugale étant applicables par analogie. Aux termes de l'art. 176 al. 1 ch. 1 CC (Code civil du 10 décembre 1907 ; RS 210), le juge fixe la contribution pécuniaire à verser par l'une des parties à l'autre. Selon la jurisprudence, le montant des aliments se détermine en fonction des facultés économiques et des besoins respectifs des époux ; tant que dure le mariage, chacun des conjoints a le droit de participer de la même manière au train de vie antérieur (ATF 119 II 314 c. 4b/aa ; TF 5A_453/2009 du 9 novembre 2009 c. 5.2), la fixation de la contribution d'entretien ne devant pas anticiper sur la liquidation du régime matrimonial. Lorsque les parties sont dans une situation matérielle favorable (sur cette notion : TF 5A_288/2008 du 27 août 2008 c. 5.4), il convient de se fonder sur les dépenses indispensables au maintien des conditions de vie antérieures, qui constitue la limite supérieure du droit à l'entretien (ATF 121 I 97 c. 3b et les arrêts cités ; TF 5A_453/2009 du 9</w:t>
      </w:r>
    </w:p>
    <w:p>
      <w:r>
        <w:t>- 8 - novembre 2009 c. 5.2 ; TF 5A_515/2008 du 1er décembre 2008 c. 2.1 ; TF 5A_732/2007 du 4 avril 2008 c. 2.2 ; TF 5P.138/2001 du 10 juillet 2001 c. 2a/bb, publié in FamPra.ch 2002 p. 333). Dans les autres cas,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 TF 5C.180/2002 du 20 décembre 2002 c. 5.2.2, in FamPra.ch 2003 pp. 428 ss, 430 et les citations). 4. a) La conclusion principale de l’appelant tendant à ce qu’il soit constaté qu’aucune contribution d’entretien n’est due par les parties repose sur la conclusion de l’instauration d’une garde alternée dans son appel du 21 décembre 2012 contre l’ordonnance de mesures provisionnelles du 20 décembre 2012 de la Présidente du Tribunal civil de l’arrondissement de l’Est vaudois. Cette revendication ayant été rejetée par arrêt du juge de céans du 15 avril 2013, la conclusion principale de l’appelant n’a pas d’objet. Subsidiairement, pour le cas – réalisé en l’espèce – où il était confirmé que la garde des enfants était attribuée à leur mère, l’appelant fait valoir trois arguments relatifs à la détermination du montant de la contribution d’entretien, qu’il convient d’examiner ci-après. b) L’appelant soutient d’abord que dans la mesure où il exerce son droit de visite une semaine sur deux, les frais qu’il assume à l’égard des enfants correspondent à tout le moins à l’équivalent du minimum vital de base pour un enfant, soit à 500 fr. compte tenu du fait que les enfants ont pour l’un plus et pour l’autre moins de dix ans révolus. L’intimée critique quant à elle le principe même de la prise en compte dans les charges de l’appelant d’un forfait pour l’exercice du droit de visite.</w:t>
      </w:r>
    </w:p>
    <w:p>
      <w:r>
        <w:t>- 9 - Si le droit fédéral n'impose pas de prendre les frais occasionnés par l'exercice du droit de visite en considération dans le calcul du minimum vital (TF 5A_63/2012 du 20 juin 2012 c. 4.2.1 ; TF 5C.38/1997 du 8 avril 1997 c. 4), la prise en compte d’un forfait – généralement de 150 fr. – pour l’exercice du droit de visite est usuelle dans la pratique vaudoise. En l’espèce, le montant mensuel de 300 fr. retenu par le premier juge à titre de frais d’exercice du droit de visite apparaît adapté, compte tenu en particulier de l’étendue de celui-ci. c) L’appelant critique ensuite l’ordonnance attaquée en tant que celle-ci retient qu’il réalise un gain mensuel net de 5'009 fr., 13e salaire compris et allocations familiales en sus. Il fait valoir qu’il résulte du contrat de travail du 14 septembre 2012 conclu entre son employeur et lui que son salaire annuel brut est de 64'586 fr. 32 sur 13 mois, soit de 4'968 fr. 18 par mois. A son avis, le bulletin de salaire d’août 2012 – qui indique un salaire brut de 5'379 fr. 58 – et le bulletin de salaire de septembre 2012 – qui indique une déduction de 411 fr. 40 d’un salaire brut de 4'968 fr. 18 – attestent de la rectification intervenue quant au trop payé pour le mois d’août 2012, ce que confirme le bulletin de salaire de décembre 2012 produit en appel. Le salaire net à retenir serait donc l’ordre de 4'500 fr., 13e salaire compris. Il résulte effectivement des pièces susmentionnées que l’appelant réalise un salaire mensuel net, allocations familiales en sus, de 4'314 fr. 60 plus la part au 13e salaire, soit 4'674 fr. 15 part au 13e salaire comprise. Les pièces produites sont suffisantes et il n’y a pas lieu de donner suite à la réquisition de l’intimée pour que l’appelant produise ses fiches de salaire de janvier 2012 à avril 2013, tous documents établissant un subside accordé pour l’assurance-maladie, ainsi que tous documents établissant l’intégralité des mouvements de ses comptes bancaires et/ou postaux. d) L’appelant soutient enfin qu’il y a lieu d’intégrer dans ses charges ses frais de transport et de repas extérieurs, car il doit se rendre deux fois par semaine à Lausanne pour y suivre les cours auprès de la</w:t>
      </w:r>
    </w:p>
    <w:p>
      <w:r>
        <w:t>- 10 - HEP. Il considère que les frais mensuels de transport liés à cette formation s’élèvent à 86 fr. 20, soit le coût du 1/2 tarif annuel (175 fr. par an divisé par 12 mois = 14 fr. 60) et les billets Vevey-Lausanne aller-retour deux fois par semaine (10 fr. x 2 x 4.3 x 10 / 12 = 71 fr. 60). Quant aux repas extérieurs, il estime qu’ils s’élèvent à 86 fr. par mois (12 fr. x 2 x 4.3 x 10 / 12). Il convient effectivement de tenir compte des frais de transport, mais pas de frais de repas extérieurs, dans la mesure où l’appelant ne suit les cours de la HEP qu’à raison de deux après-midis par semaine. e) Il résulte de ce qui précède que le salaire mensuel net de l’appelant est de 4'674 fr. 15, part au 13e salaire comprise, tandis que son minimum vital est de 3'341 fr., ce qui lui laisse un disponible de 1'333 fr. 15 (4'674 fr. 15 – 3'341 fr.). 5. a) Il s’ensuit que l’appel doit être partiellement admis et l’ordonnance attaquée réformée en ce sens que la contribution d’entretien due par A.W.________ est fixée à 1'330 fr. par mois. b) Les frais judiciaires de deuxième instance, qui s’élèvent à 600 fr. (art. 65 al. 2 TFJC [tarif des frais judiciaires en matière civile du 28 septembre 2010 ; RSV 270.11.5]), seront, vu la nature et l’issue du litige, répartis par moitié entre les parties et laissés à la charge de l’Etat (art.122 al. 1 let. b CPC). Les dépens de deuxième instance seront compensés. c) Vu la situation financière telle qu'elle résulte du présent arrêt, il y a lieu d'admettre la requête d'assistance judiciaire des parties, Me Irène Wettstein Martin étant désignée comme conseil d'office de l’appelant et Me Matthieu Genillod étant désigné comme conseil d’office de l’intimée. A.W.________ et B.W.________ sont astreints au paiement d'une franchise mensuelle de 50 fr. chacun, dès et y compris le 1er juillet 2013, à verser auprès du Service Juridique et Législatif, Secteur recouvrement, case postale, 1014 Lausanne.</w:t>
      </w:r>
    </w:p>
    <w:p>
      <w:r>
        <w:t>- 11 - Le dispositif envoyé aux parties le 12 juin 2013 comporte une omission sur l’octroi de l’assistance judiciaire aux parties, laquelle est rectifiée d’office par l’ajout du chiffre IIIbis, en application de l’art. 334 al. 1 CPC. d) Sur la base de la liste de ses opérations, l’indemnité d’office de Me Matthieu Genillod sera arrêtée à 1'378 fr. 10, comprenant un défraiement de 1’260 fr. pour sept heures travail, des débours de 16 fr. et la TVA sur ces montants par 102 fr. 10 (art. 122 al. 2 CPC ; art. 2 al. 1 RAJ [règlement du 7 décembre 2010 sur l’assistance judiciaire en matière civile ; RSV 211.02.3]). Vu qu’aucune liste d’opérations n’a été déposée par Me Irène Wettstein Martin, on estimera le temps nécessaire à la conduite de la procédure à sept heures de travail, comme annoncé par l’avocat adverse (art. 3 al. 2 RAJ). L’indemnité d’office de Me Irène Wettstein Martin sera dès lors arrêtée à 1'378 fr. 10, TVA et débours compris. e) Les bénéficiaires de l’assistance judiciaire sont, dans la mesure de l’art. 123 CPC, tenus au remboursement des frais judiciaires et de l’indemnité à leur conseil d’office mis à la charge de l’Etat. Par ces motifs, le juge délégué de la Cour d’appel civile du Tribunal cantonal, statuant à huis clos, prononce : I. L’appel est partiellement admis.</w:t>
      </w:r>
    </w:p>
    <w:p>
      <w:r>
        <w:t>- 12 - II. L’ordonnance est réformée comme suit au chiffre I de son dispositif : I. dit que A.W.________ contribuera, dès et y compris le 20 décembre 2012, à l’entretien de sa femme et de ses enfants C.W.________ et D.W.________ par le régulier versement, d’avance le premier jour de chaque mois, de 1'330 fr. (mille trois cent trente francs), allocations familiales en sus, en mains de B.W.________. Elle est confirmée pour le surplus. III. Les frais judiciaires de deuxième instance, arrêtés à 300 fr. (trois cents francs) pour chacune des parties, sont laissés à la charge de l’Etat. IIIbis. Les requêtes d’assistance judiciaire des parties sont admises, Me Irène Wettstein Martin étant désignée comme conseil d'office de l’appelant et Me Matthieu Genillod étant désigné comme conseil d’office de l’intimée. A.W.________ et B.W.________ sont astreints au paiement d'une franchise mensuelle de 50 fr. chacun, dès et y compris le 1er juillet 2013, à verser auprès du Service Juridique et Législatif, Secteur recouvrement, case postale, 1014 Lausanne. IV. L’indemnité d’office de Me Irène Wettstein Martin, conseil de l’appelant A.W.________, est arrêtée à 1'378 fr. 10 (mille trois cent septante-huit francs et dix centimes), TVA et débours compris. V. L’indemnité d’office de Me Matthieu Genillod, conseil de l’intimée B.W.________ est arrêtée à 1'378 fr. 10 (mille trois cent septante-huit francs et dix centimes), TVA et débours compris.</w:t>
      </w:r>
    </w:p>
    <w:p>
      <w:r>
        <w:t>- 13 - VI. Les bénéficiaires de l’assistance judiciaire sont, dans la mesure de l’art. 123 CPC, tenus au remboursement des frais judiciaires et de l’indemnité à leur conseil d’office mis à la charge de l’Etat. VII. Les dépens de deuxième instance sont compensés. VIII. L'arrêt motivé est exécutoire. Le juge délégué : La greffière : Du 12 juin 2013 Le dispositif de l'arrêt qui précède est communiqué par écrit aux intéressés. La greffière : Du L'arrêt qui précède, dont la rédaction a été approuvée à huis clos, est notifié en expédition complète, par l'envoi de photocopies à : - Me Irène Wettstein Martin (pour A.W.________) - Me Matthieu Genillod (pour B.W.________) Le juge délégué de la Cour d’appel civile considère que la valeur litigieuse supérieure à 30’000 francs.</w:t>
      </w:r>
    </w:p>
    <w:p>
      <w:r>
        <w:t>- 14 -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