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TD12.010608 vom 9. September 2013</w:t>
      </w:r>
    </w:p>
    <w:p>
      <w:r>
        <w:t>VD Tribunal cantonal, 2013-09-09, FR</w:t>
      </w:r>
    </w:p>
    <w:p>
      <w:r>
        <w:rPr>
          <w:b/>
        </w:rPr>
        <w:t xml:space="preserve">Quelle: </w:t>
      </w:r>
      <w:r>
        <w:t>https://mcp.opencaselaw.ch/entscheid/vd_gerichte_TD12.010608</w:t>
      </w:r>
    </w:p>
    <w:p>
      <w:r>
        <w:t>FR: VD_GERICHTE TD12.010608 du 9 septembre 2013</w:t>
      </w:r>
    </w:p>
    <w:p>
      <w:r>
        <w:t>IT: VD_GERICHTE TD12.010608 del 9 settembre 2013</w:t>
      </w:r>
    </w:p>
    <w:p>
      <w:pPr>
        <w:pStyle w:val="Heading2"/>
      </w:pPr>
      <w:r>
        <w:t>Erwägungen</w:t>
      </w:r>
    </w:p>
    <w:p>
      <w:r>
        <w:rPr>
          <w:b/>
        </w:rPr>
        <w:t>E. 1</w:t>
      </w:r>
    </w:p>
    <w:p>
      <w:r>
        <w:t>Par décision du 21 juin 2012, le Président du Tribunal civil de l’arrondissement de Lausanne a désigné Me X.________, avocat à Lausanne, en qualité de conseil d’office d’O.________ dans la cause en divorce qui l’oppose à H.________.</w:t>
      </w:r>
    </w:p>
    <w:p>
      <w:r>
        <w:t>- 3 -</w:t>
      </w:r>
    </w:p>
    <w:p>
      <w:r>
        <w:rPr>
          <w:b/>
        </w:rPr>
        <w:t>E. 2</w:t>
      </w:r>
    </w:p>
    <w:p>
      <w:r>
        <w:t>Une audience de conciliation s’est tenue le 22 mai 2012, alors qu’O.________ était assisté d’un autre conseil d’office. Le 23 octobre 2012 a eu lieu l’audience de premières plaidoiries et l’audience de jugement s’est tenue le 8 mars 2013 ; y ont notamment participé O.________, assistée de l’avocate-stagiaire de Me X.________.</w:t>
      </w:r>
    </w:p>
    <w:p>
      <w:r>
        <w:rPr>
          <w:b/>
        </w:rPr>
        <w:t>E. 3</w:t>
      </w:r>
    </w:p>
    <w:p>
      <w:r>
        <w:t>a)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nn. 5 à</w:t>
      </w:r>
    </w:p>
    <w:p>
      <w:r>
        <w:rPr>
          <w:b/>
        </w:rPr>
        <w:t>E. 7</w:t>
      </w:r>
    </w:p>
    <w:p>
      <w:r>
        <w:t>ad art. 122 CPC, pp. 621- 622). L’avocat d’office a droit au remboursement intégral de ses débours s’inscrivant dans le cadre de l’accomplissement normal de sa tâche, plus à une indemnité s’apparentant aux honoraires d’un avocat de choix, mais qui peut être inférieure à ces honoraires (ATF 122 I 1 c. 3a ; ATF 117 la 22 c. 4a ; TF 6B_745/2009 du 12 novembre 2009 c. 10.1 ; TF 6B_273/2009 du 2 juillet 2009 c. 2.1 ; TF 6B_960/2008 du 22 janvier 2009 c. 1.1 ; TF 6B_947/2008 du 16 janvier 2009 c. 2 ; Tappy, op. cit., n. 8 ad art. 122 CPC, p. 500).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109 la 107 c. 3 ; ATF 117 la 22 c. 3a ; TF 6B_745/2009 du 12 novembre 2009 c. 10.1 ; TF 6B_273/2009 du 2 juillet 2009 c. 2.1 ;TF 6B_102/2009 du 14 avril 2009 c. 2 ; TF</w:t>
      </w:r>
    </w:p>
    <w:p>
      <w:r>
        <w:t>- 6 - 6B_960/2008 du 22 janvier 2009 c. 1.1 ; TF 6B_947/2008 du 16 janvier 2009 c. 2).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 stagiaire. Cette disposition codifie la jurisprudence antérieure rendue sous l’empire de l’ancienne loi sur l’assistance judiciaire. Pour fixer la quotité de l’indemnité du conseil d’office, l’autorité cantonale doit s’inspirer des critères applicables à la modération des honoraires d’avocat (Donzallaz, Loi sur le Tribunal fédéral, Commentaire, Berne 2008, n. 1775 ad art. 64 LTF, p. 715 ; ATF 122 l 1 c. 3a).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être rétribué pour des activités qui ne sont pas nécessaires à la défense des intérêts de l’assisté ou qui consistent en un</w:t>
      </w:r>
    </w:p>
    <w:p>
      <w:r>
        <w:t>- 7 - soutien moral (TF 5P_462/2002 du 30 janvier 2003 ; CREC 9 juin 2011/80) ou relevant de l’aide sociale (CREC 8 août 2011/22). b) Le recourant fait valoir que les premiers juges n’ont pas indiqué les opérations qu’ils réduisaient, se contentant d’une réduction globale, au motif que la formation du stagiaire ne doit pas être pris en charge par le bénéficiaire de l’assistance judiciaire. Le recourant le conteste, en affirmant que toutes les opérations ont été nécessitées par un traitement diligent du dossier et que le coût total pour le contribuable et le justiciable n’est pas supérieur à l’hypothèse d’un avocat breveté qui remplirait seul son mandat d’office. En l’espèce, la procédure portait sur deux aspects, soit l’effectivité d’une séparation et le caractère abusif du partage LPP, la première question ayant entraîné l’examen de nombreuses pièces et la seconde des recherches juridiques. De toute manière, toujours selon le recourant, même s’il fallait admettre que le stagiaire travaille moins vite, cela serait déjà pris en compte dans le tarif horaire alloué. Enfin, le recourant procède à une comparaison avec les listes des opérations des conseils d’office de la partie adverse, pour constater que, selon lui, les deux avocats brevetés de cette dernière ont consacré plus de temps aux différentes opérations que lui et sa stagiaire. c) En l’espèce, c’est en vain que le recourant soutient que les premiers juges auraient dû indiquer les opérations superflues. Le jugement précise qu’il a été procédé à un examen des opérations nécessaires sur la base du dossier et que le temps annoncé dans les listes d’opérations devait être réduit. Il s’agit là du motif principal de réduction de l’indemnité et en procédant de la sorte les premiers juges ont fait usage de leur large pouvoir d’appréciation tel que rappelé ci-dessus. Sur le plan des activités judiciaires, la stagiaire a rédigé une réponse et assisté le client à deux audiences, dont l’une a duré moins d’une demie heure. Le reste des opérations telles qu’énumérées dans la liste des opérations de la stagiaire consiste pour l’essentiel en des entretiens avec le client, au nombre de dix-sept si l’on prend en compte également les entretiens téléphoniques. Au regard de la durée de la</w:t>
      </w:r>
    </w:p>
    <w:p>
      <w:r>
        <w:t>- 8 - procédure, qui s’est achevée pour les opérations de première instance en mars 2013, soit moins d’un an après la désignation du conseil d’office, ce nombre est trop important et doit être réduit, étant rappelé que le soutien moral au client n’est pas une opération nécessaire à l’exécution du mandat d’office. Il apparaît également que les opérations pour la rédaction d’une réponse de six pages réparties sur six jours (projet de déterminations - relecture du projet - corrections des déterminations - adaptation du projet de déterminations - adaptation et bordereau - finalisation de la réponse) sont excessives et doivent être réduites. Tout bien considéré, les premiers juges n’ont pas excédé leur large pouvoir d’appréciation en réduisant la durée totale de près de dix heures, étant précisé que les autres opérations concernant l’examen de pièces ou divers entretiens avec des tiers ne sont pas remises en cause. Il en va de même de la réduction faite sur la durée des opérations du recourant lui-même, si l’on considère que son intervention a consisté pour l’essentiel à recevoir une première fois le client et à superviser sa stagiaire, la réduction ayant été effectuée dans des proportions bien moindres, ce qui tient compte de la correction déjà opérée pour les activités de la stagiaire. Une durée de 2 heures 45 minutes apparaît ainsi suffisante pour une conférence avec le client, un téléphone avec un confrère, l’examen de la réponse rédigée par la stagiaire et une discussion avec cette dernière avant l’audience de jugement. Enfin, le recourant ne saurait exciper du temps consacré par les conseils adverses une inégalité de traitement, dès lors que deux avocats d’office différents se sont succédés pour assister la demanderesse et que les opérations ne sont de toute manière pas identiques. 4. En définitive, le recours doit être rejeté en application de l’art. 322 al. 1 CPC et le chiffre VII du dispositif du jugement confirmé.</w:t>
      </w:r>
    </w:p>
    <w:p>
      <w:r>
        <w:t>- 9 - Aux termes de l’art. 69 al. 3 TFJC (tarif des frais judiciaires civils du 28 septembre 2010 ; RSV 270.11.5), pour un recours contre une décision en matière d’assistance judiciaire, l’émolument forfaitaire de décision correspond à 1% de la valeur litigieuse, mais au minimum 100 francs et au maximum 1’000 francs. Compte tenu de la valeur litigieuse, c’est le montant minimum qui doit être retenu. Le recours étant rejeté, les frais judiciaires de deuxième instance, arrêtés à 100 fr., sont mis à la charge du recourant (art. 106 aI. 1 CPC).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X.________. IV. L’arrêt motivé est exécutoire. Le président : Le greffier :</w:t>
      </w:r>
    </w:p>
    <w:p>
      <w:r>
        <w:t>- 10 - Du 10 septembre 2013 Le dispositif de l'arrêt qui précède est communiqué par écrit aux intéressés. Le greffier : Du L'arrêt qui précède, dont la rédaction a été approuvée à huis clos, est notifié en expédition complète, par l'envoi de photocopies, à : - Me X.________, - M. O.________.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w:t>
      </w:r>
    </w:p>
    <w:p>
      <w:r>
        <w:t>- 11 -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