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TD12.009733 vom 23. Juni 2014</w:t>
      </w:r>
    </w:p>
    <w:p>
      <w:r>
        <w:t>VD Tribunal cantonal, 2014-06-23, FR</w:t>
      </w:r>
    </w:p>
    <w:p>
      <w:r>
        <w:rPr>
          <w:b/>
        </w:rPr>
        <w:t xml:space="preserve">Quelle: </w:t>
      </w:r>
      <w:r>
        <w:t>https://mcp.opencaselaw.ch/entscheid/vd_gerichte_TD12.009733</w:t>
      </w:r>
    </w:p>
    <w:p>
      <w:r>
        <w:t>FR: VD_GERICHTE TD12.009733 du 23 juin 2014</w:t>
      </w:r>
    </w:p>
    <w:p>
      <w:r>
        <w:t>IT: VD_GERICHTE TD12.009733 del 23 giugno 2014</w:t>
      </w:r>
    </w:p>
    <w:p>
      <w:pPr>
        <w:pStyle w:val="Heading2"/>
      </w:pPr>
      <w:r>
        <w:t>Erwägungen</w:t>
      </w:r>
    </w:p>
    <w:p>
      <w:r>
        <w:rPr>
          <w:b/>
        </w:rPr>
        <w:t>E. 26</w:t>
      </w:r>
    </w:p>
    <w:p>
      <w:r>
        <w:t>juin 2012, ont été comptabilisées tant chez l’avocat que chez la stagiaire et qu’une dizaine de conférences avec la cliente et près de soixante téléphones avec celle-ci relevaient davantage du soutien moral que du travail d’avocat. La simple énumération de ces motifs montre que le grief de motivation insuffisante est infondé. D’ailleurs, le recourant expose dans son acte de recours les griefs lui permettant d’attaquer utilement la décision de première instance. Ce moyen doit ainsi être rejeté. 5. Le recourant invoque ensuite une constatation manifestement inexacte des faits. Sans réfuter le motif tiré d’une comptabilisation à double de certaines opérations, il reproche à l'autorité de première instance d'avoir abusé de son pouvoir d’appréciation en estimant de manière arbitraire qu’outre les 25,7 heures de travail consacrées par l’avocat, un nombre de 55 heures suffisaient à l’accomplissement du mandat de l’avocate stagiaire. Il fait valoir que la cause était complexe en fait eu égard à la situation de la partie adverse, à la présence de plusieurs</w:t>
      </w:r>
    </w:p>
    <w:p>
      <w:r>
        <w:t>- 8 - interlocuteurs et que son activité a permis la conclusion d’une convention mettant fin au litige. Au grief selon lequel il a prodigué un soutien moral plutôt que des prestations d’avocat, il répond que cela n’est pas gratifiant pour lui, ce d’autant moins qu’il a obtenu un résultat positif dans la procédure. a)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CPC). L’avocat d’office a droit au remboursement intégral de ses débours s’inscrivant dans le cadre de l’accomplissement normal de sa tâche, plus à une indemnité s’apparentant aux honoraires d’un avocat de choix, mais qui peut être inférieure à ces honoraires (ATF 122 I 1 c. 3a ; ATF 117 la 22 c. 4a ; TF 6B_745/2009 du 12 novembre 2009 c. 10.1 ; Tappy, op. cit., n. 8 ad art. 122 CPC).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122 I 1 c. 3a ; ATF 109 la 107 c. 3 ; ATF 117 la 22 c. 3a ; TF 6B_745/2009 du 12 novembre 2009 c. 10.1 ; TF 6B_273/2009 du 2 juillet 2009 c. 2.1 ). Dans le canton de Vaud, l’art. 2 al. 1 RAJ (règlement sur l’assistance judiciaire en matière civile du 7 décembre 2010; RSV</w:t>
      </w:r>
    </w:p>
    <w:p>
      <w:r>
        <w:t>- 9 - 211.02.3)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Pour fixer la quotité de l’indemnité du conseil d’office, l’autorité cantonale doit s’inspirer des critères applicables à la modération des honoraires d’avocat (Donzallaz, Loi sur le Tribunal fédéral, Commentaire, Berne 2008, n. 1775 ad art. 64 LTF; ATF 122 l 1 c. 3a). Elle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 ; ATF 117 la 22 c. 3a ; TF 6B_745/2009 du 12 novembre 2009 c. 10.1 ; TF 6B_273/2009 du 2 juillet 2009 c. 2.1 ; TF 6B_102/2009 du 14 avril 2009 c. 2 ; TF 6B_960/2008 du 22 janvier 2009 c. 1.1 ; TF 6B_947/2008 du 16 janvier 2009 c. 2).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w:t>
      </w:r>
    </w:p>
    <w:p>
      <w:r>
        <w:t>- 10 - qu’il estime inutiles ou superflues. L’avocat d’office ne saurait être rétribué pour des activités qui ne sont pas nécessaires à la défense des intérêts de l’assisté ou qui consistent en un soutien moral (TF 5P_462/2002 du 30 janvier 2003 ; CREC 9 juin 2011/80) ou relevant de l’aide sociale (CREC 8 août 2011/22). b) En l’espèce, l’avocate stagiaire a, outre des conférences, courriers et téléphones, établi un bordereau de pièces et une liste de témoins, rédigé une réponse, assisté l’audition des enfants, participé à deux audiences de mesures provisionnelles, à une audience de premières plaidoiries et à l’audience de jugement au cours de laquelle les parties ont confirmé le contenu de la convention qu’elles avaient passée. Il y a lieu de relever que, comme l’admet le recourant lui-même, c’est la partie adverse qui a rédigé des requêtes de mesures provisionnelles (recours, p. 5) et que la procédure écrite n’a pris aucune ampleur. Dans le cadre de ce procès en modification de jugement de divorce engagé par l’ex mari, la situation de fait était certes complexe, notamment en tant que la partie adverse aurait dissimulé son revenu ; elle ne correspondait toutefois pas à une situation extraordinaire dans ce genre d’affaires, de sorte que le premier juge a pu évaluer le temps nécessaire en référence à une situation habituelle. Comme il l’a relevé, il incombe à l’avocat d’office de se cantonner aux opérations nécessaires à l’accomplissement du mandat officiel, sans se muer en mandataire privé appelé à résoudre toutes les questions que lui soumet son mandant. Or, il apparaît qu’en consacrant du temps à une dizaine de conférences avec sa cliente d’office, la stagiaire du recourant est allée au-delà de ce qui était exigé d’elle; à tout le moins le recourant ne démontre-t-il pas que le nombre de ces entretiens étaient indispensable, ce d’autant moins qu’il déclare lui-même que certains entretiens ont pu avoir lieu par téléphone (recours, p. 7). Le premier juge a ainsi réduit les 74,4 heures déclarées par l’avocate stagiaire à 55 heures. Comme déjà relevé ci-dessus (c. 4b), il a considéré que le temps globalement annoncé, à savoir plus de 100 heures</w:t>
      </w:r>
    </w:p>
    <w:p>
      <w:r>
        <w:t>- 11 - (25,7 heures d’avocat + 74,4 heures de stagiaire) était excessif, que certaines opérations avaient été comptabilisées tant pour l’avocat que pour l’avocate stagiaire et enfin que certaines opérations relevaient davantage du soutien moral que du travail d’avocat. Cela étant, et en l’absence d’indications particulières, on ne voit pas, et le recourant ne le démontre pas, qu’en retenant une durée de 55 heures pour l’activité de l’avocate stagiaire, à savoir environ sept jours de travail, le premier juge aurait abusé de son pouvoir d’appréciation. Ce moyen doit également être rejeté. 6. Au vu de ce qui précède, le recours doit être rejeté et la décision entreprise confirmée. Les frais judiciaires de deuxième instance, arrêtés à 200 fr. (art. 69 al. 3 TFJC [tarif des frais judiciaires civils du 28 septembre 2010; RSV 170.11.5]), sont mis à la charge du recourant qui succombe. Par ces motifs, la Chambre des recours civile du Tribunal cantonal, statuant à huis clos, prononce : I. Le recours est rejeté. II. Le jugement est confirmé. III. Les frais judiciaires de deuxième instance, arrêtés à 200 fr. (deux cents francs), sont mis à la charge du recourant K.________. IV. L’arrêt motivé est exécutoire</w:t>
      </w:r>
    </w:p>
    <w:p>
      <w:r>
        <w:t>- 12 - Le président : La greffière : Du 24 juin 2014 Le dispositif de l'arrêt qui précède est communiqué par écrit aux intéressés. La greffière : Du L'arrêt qui précède, dont la rédaction a été approuvée à huis clos, est notifié en expédition complète, par l'envoi de photocopies, à : - Me K.________. La Chambre des recours civile considère que la valeur litigieuse est de 2’151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