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TD11.047522 vom 5. Dezember 2013</w:t>
      </w:r>
    </w:p>
    <w:p>
      <w:r>
        <w:t>VD Tribunal cantonal, 2013-12-05, FR</w:t>
      </w:r>
    </w:p>
    <w:p>
      <w:r>
        <w:rPr>
          <w:b/>
        </w:rPr>
        <w:t xml:space="preserve">Quelle: </w:t>
      </w:r>
      <w:r>
        <w:t>https://mcp.opencaselaw.ch/entscheid/vd_gerichte_TD11.047522</w:t>
      </w:r>
    </w:p>
    <w:p>
      <w:r>
        <w:t>FR: VD_GERICHTE TD11.047522 du 5 décembre 2013</w:t>
      </w:r>
    </w:p>
    <w:p>
      <w:r>
        <w:t>IT: VD_GERICHTE TD11.047522 del 5 dicembre 2013</w:t>
      </w:r>
    </w:p>
    <w:p>
      <w:pPr>
        <w:pStyle w:val="Heading2"/>
      </w:pPr>
      <w:r>
        <w:t>Erwägungen</w:t>
      </w:r>
    </w:p>
    <w:p>
      <w:r>
        <w:rPr>
          <w:b/>
        </w:rPr>
        <w:t>E. 1</w:t>
      </w:r>
    </w:p>
    <w:p>
      <w:r>
        <w:t>Le demandeur B.P.________, né le [...] 1970, de nationalité suisse, et la défenderesse A.P.________, née [...] le [...] 1956, de nationalité chilienne, se sont mariés le [...] 1996 à Lausanne. Ils sont les parents de l'enfant C.P.________, née le [...] 1996. Les parties vivent séparées depuis le 12 mars 2008.</w:t>
      </w:r>
    </w:p>
    <w:p>
      <w:r>
        <w:rPr>
          <w:b/>
        </w:rPr>
        <w:t>E. 2</w:t>
      </w:r>
    </w:p>
    <w:p>
      <w:r>
        <w:t>Par demande unilatérale du 8 mai 2012, B.P.________ a conclu au divorce et à la réglementation de ses effets. Il a notamment conclu à ce qu'aucune contribution d'entretien après divorce au sens de l'art. 125 CC ne soit versée entre époux. Dans sa réponse du 18 juin 2012, A.P.________ a également conclu au divorce et à la réglementation de ses effets. Elle a conclu à ce</w:t>
      </w:r>
    </w:p>
    <w:p>
      <w:r>
        <w:t>- 4 - que son époux s'engage à lui verser, par mois et d'avance, allocations familiales non comprises, une contribution d'entretien dont le montant serait défini en cours d'instance. Dans ses déterminations du 19 juillet 2012, le demandeur a confirmé les conclusions qu'il avait prises dans son écriture du 8 mai précédent. Lors de l'audience de premières plaidoiries du 21 août 2012, les parties ont convenu, à titre provisoire, que la garde sur l'enfant C.P.________ serait confiée à son père, étant précisé qu'il en avait la garde de fait depuis le 1er novembre 2011, que la mère bénéficierait d'un droit de visite qui s'exercerait d'entente avec sa fille, que le demandeur verserait à la défenderesse une pension mensuelle de 2'960 fr., payable d'avance le premier de chaque mois, dès et y compris le 1er septembre 2012, étant précisé que dite pension comprenait une participation du demandeur au paiement du leasing du piano par 60 fr., l'attribution de ce piano devant suivre le sort de l'enfant. La convention a été ratifiée pour valoir ordonnance de mesures provisionnelles. Lors de l'audience de jugement du 4 février 2013, les parties, assistées de leur conseil respectif, ont été entendues sur les faits de la cause. L'audience a été suspendue à deux reprises. Les parties ont conclu conjointement au divorce et à la ratification de la convention suivante: "I. B.P.________ et A.P.________ continueront à exercer conjointement l’autorité parentale sur leur fille C.P.________, née le [...] 1996. Il. La garde sur C.P.________ est confiée à son père B.P.________. III. La mère exercera un libre et large droit de visite sur sa fille C.P.________ à exercer d’entente avec cette dernière. IV. B.P.________ contribuera à l’entretien de A.P.________ par le versement, d’avance le premier de chaque mois, d’une pension mensuelle de Fr. 1’000.- (mille francs), du 1er mars 2013 au 31 décembre 2013 et de Fr. 800.- (huit cents francs), dès lors et jusqu’au 30 juin 2014. V. B.P.________ renonce à réclamer toute contribution d’entretien pour sa fille C.P.________. VI. Parties renoncent réciproquement à tout partage de leurs avoirs de prévoyance professionnelle. VII. Les droits et obligations relatifs à l’appartement conjugal, sis [...], [...] Lausanne, y compris la garantie de loyer, sont définitivement attribués à A.P.________.</w:t>
      </w:r>
    </w:p>
    <w:p>
      <w:r>
        <w:t>- 5 - VIII. La possession du piano se trouvant actuellement chez A.P.________ est transférée à B.P.________ qui assumera les frais de déménagement y relatifs, ainsi que le solde des mensualités de leasing s’y rapportant, étant précisé qu’au terme du contrat de leasing la propriété du piano reviendra à C.P.________. IX. Parties déclarent ne plus avoir de prétention à faire valoir l’une contre l’autre du chef de la liquidation de leur régime matrimonial, qui peut être considéré comme dissous et liquidé. X. Le demandeur assumera les frais de la présente procédure, arrêtés à Fr. 2’500.-, frais qui sont laissés à la charge de I’Etat dès lors que le demandeur est au bénéfice de l’assistance judicaire, mais soumis à remboursement selon l’article 123 CPC. Xl. Chaque partie assumera ses frais d’avocat, dont les indemnités respectives seront arrêtées à réception des listes d’opérations des conseils." Les parties ont ensuite été informées de ce que les premiers juges prenaient d'ores et déjà acte, pour valoir ordonnance de mesures provisionnelles, du chiffre IV de la convention précitée, laquelle serait ratifiée dans le jugement au fond pour en faire partie intégrante. Les parties ont confirmé leur volonté de divorcer et les termes de la convention susmentionnée.</w:t>
      </w:r>
    </w:p>
    <w:p>
      <w:r>
        <w:rPr>
          <w:b/>
        </w:rPr>
        <w:t>E. 3</w:t>
      </w:r>
    </w:p>
    <w:p>
      <w:r>
        <w:t>a) L'appelante se plaint du caractère inéquitable de la convention sur les effets accessoires du divorce en ce qui concerne le montant de la contribution d'entretien qui lui est due par l'intimé. D'une part, elle fait valoir que sa situation financière est extrêmement précaire, ses seules ressources financières en dehors des pensions alimentaires étant les prestations qu'elle perçoit de l'assistance publique. D'autre part, elle expose que la situation de l'intimé est confortable, celui-ci réalisant un salaire mensuel net de 8'700 fr. sans compter les revenus issus d'une éventuelle activité accessoire.</w:t>
      </w:r>
    </w:p>
    <w:p>
      <w:r>
        <w:t>- 9 - b/aa) Aux termes de l'art. 279 al. 1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[Code civil suisse du 10 décembre 1907, RS 210, dans sa teneur en vigueur jusqu'au 31 décembre 2010], respectivement art. 279 al. 1 CPC) ou d'une impossibilité ou d'une illégalité du partage des prestations de sortie (art. 141 aCC, respectivement art. 280 al. 1 let. b et c CPC; cf. Tappy, op. cit., n. 16 ad art. 289 CPC; JT 2013 III 67 c. 3a).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(TF 5A_599/2007 du 8 octobre 2008 c. 6.4.1; TF 5C_163/2006 du 3 novembre 2010 c. 4.1; JT 2013 III 67 c. 3a). L'art. 279 al. 1 CPC ne permet cependant pas au juge de refuser la ratification d'une convention qui ne lui paraîtrait pas totalement juste, cette disposition n'étant pas l'expression du contrôle de l'égalité dans l'échange. Mais une disproportion évidente entre prestation et contre-prestation suffit en principe à montrer que la négociation ne s'est pas déroulée correctement et le juge devrait alors refuser de ratifier la convention (JT 2013 III 67).</w:t>
      </w:r>
    </w:p>
    <w:p>
      <w:r>
        <w:t>- 10 - bb)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 4.1.1 et les arrêts cités). Lorsque l’union conjugale a durablement marqué de son empreinte la situation de l’époux bénéficiaire ("lebensprägend"), le créancier de l’entretien a droit, pour autant que la situation financière des parties le permette, au maintien du standard de vie choisi d’un commun accord par les conjoints ou, à tout le moins, au même niveau de vie que le débiteur. Un époux ne peut prétendre à une pension que s’il n’est pas en mesure de pourvoir lui-même à son entretien convenable et si son conjoint dispose d’une capacité contributive, étant précisé que tant le créancier que le débiteur peut se voir imputer un revenu hypothétique (ATF 137 III 102 c. 4.2.1 à 4.2.3 et les réf. citées). Selon la jurisprudence, il n'y a pas lieu de tenir compte, dans les revenus du crédirentier, de l'aide que celui-ci perçoit de l'assistance publique, telle que le revenu d’insertion;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TF 5A_170/2007 du 27 juin 2007 c. 4, in FamPra.ch 2007 p. 895 et les réf. citées). c) En l'espèce, il ressort de l'instruction que l'appelante ne perçoit aucun revenu, sous réserve des prestations de l'aide sociale, dont il n'y a toutefois, eu égard à la jurisprudence susmentionnée, pas lieu de tenir compte. Son budget mensuel, soit son montant de base par 1'350 fr.,</w:t>
      </w:r>
    </w:p>
    <w:p>
      <w:r>
        <w:t>- 11 - son loyer par 1'476 fr., sa prime d'assurance-maladie par 30 fr. et ses frais d'assurance complémentaire par 65 fr., s'élève à 2'921 francs. Il manque ainsi à l'appelante un montant de 2'921 fr. par mois. Pour sa part, l'intimé bénéficie d'un montant disponible mensuel de 2'395 fr. 20. Celui-ci réalise en effet un revenu mensuel net de 8'700 fr. et s'acquitte chaque mois de charges qui s'élèvent à un montant total de 6'304 fr. 80, soit son montant de base par 1'350 fr., celui de sa fille par 600 fr., son loyer par 2'730 fr., ses frais de garage par 180 fr., sa prime d'assurance-maladie obligatoire par 327 fr. 80 et sa charge fiscale par 1'117 francs. S'agissant d'éventuels revenus accessoires, il n'en sera pas tenu compte, l'appelante s'étant contentée d'alléguer dans le cadre de son appel qu'elle avait "découvert" que l'intimé travaillait régulièrement pour son oncle, qui gérait une entreprise familiale active dans le commerce du vin au Tessin, son rôle consistant à faire de la prospection et à s'occuper de la vente au détail de vin (cf. all. 11-13 de l'appel), sans toutefois démontrer qu'il réaliserait un quelconque revenu de ce chef. Ainsi, force est de constater que la pension mensuelle de 1'000 fr. due par l'intimé jusqu'au 31 décembre 2013, puis de 800 fr. dès lors et jusqu'au 30 juin 2014 ne permet pas à l'appelante de couvrir l’ensemble de ses frais actuels. La convention des parties quant à la contribution d’entretien n'en est pas pour autant manifestement inéquitable pour les raisons exposées ci-dessous. Le principe même du versement d'une contribution d'entretien pouvait prêter à discussion. En effet, le mariage des parties, célébré en 1996, a duré un peu moins de dix-sept ans et la vie commune douze ans. L'appelante, qui bénéficie d'une formation de laborantine médicale, a travaillé en cette qualité pendant le mariage d'abord au CHUV, puis dans un laboratoire privé. De son propre aveu, elle a entretenu son époux pendant plusieurs années et lui a financé une formation à l'Institut de hautes études en administration publique (cf. réponse du 18 juin 2012, déterminations ad 34). Ce n'est qu'après avoir perdu son emploi pour cause de restructuration, en 2006, que l'appelante a cessé d'exercer une</w:t>
      </w:r>
    </w:p>
    <w:p>
      <w:r>
        <w:t>- 12 - activité lucrative (cf. réponse du 18 juin 2012, déterminations ad 38). Ainsi, la répartition des tâches convenue par le couple ne voulait pas que celle-ci soit mère au foyer, soit qu'elle s'occupe du ménage et de l'enfant C.P.________, et que l'intimé pourvoie financièrement à l’entretien de sa famille en exerçant une activité lucrative. Bien au contraire, l'appelante y a contribué pendant de nombreuses années. Dans ces conditions, on ne peut pas retenir que le mariage aurait concrètement influencé sa situation en ce sens qu'elle n'aurait plus été en mesure, au moment de la séparation en mars 2008, ou à tout le moins à l'issue de sa formation dans le développement durable, qui devait s'achever en automne 2008 (cf. pièce 2 du bordereau du 9 décembre 2011), de retrouver une activité lucrative lui permettant de subvenir à ses besoins. On peut dès lors douter que, sur le principe, l'appelante ait droit à une contribution d'entretien. Si l’on admet le principe d’une contribution d’entretien, on aurait certes pu envisager que cette dernière lui soit accordée pour une durée plus longue. L’appelante a cependant obtenu conventionnellement une contribution limitée dans le temps. La transaction a pour but de mettre définitivement fin au litige et aux incertitudes existantes moyennant des concessions réciproques. Tel a été le cas en l’espèce. La solution d’une contribution d’entretien jusqu’à la retraite ne s’imposait pas de manière si évidente qu’une convention prévoyant une pension limitée dans le temps apparaîtrait comme manifestement inéquitable, dès lors que l'on pouvait envisager que l'appelante – qui a accompli une formation dans le développement durable – puisse retrouver à terme une activité lucrative lui assurant son indépendance financière. A cela s'ajoute le fait que l'intimé, à qui la garde sur C.P.________ a été confiée, assume pleinement l'entretien de cette enfant et a renoncé à réclamer à l'appelante toute contribution d'entretien en sa faveur. Au regard de ce qui précède, la pension mensuelle versée à l'appelante à titre d'entretien, fixée à 1'000 fr. du 1er mars au 31</w:t>
      </w:r>
    </w:p>
    <w:p>
      <w:r>
        <w:t>- 13 - décembre 2013, puis à 800 fr. dès lors et jusqu'au 30 juin 2014, n'est pas manifestement inéquitable et doit être confirmée. Pour le surplus, il apparaît que la convention sur les effets accessoires du divorce a été passée après mûre réflexion des parties et selon leur libre volonté. En effet, il ressort du procès-verbal de l'audience de jugement du 4 février 2013 que cette convention a été conclue et signée par les parties, toutes deux assistées, lors de cette audience, après leur audition respective sur les faits de la cause ainsi que deux suspensions d'audience, lors desquelles elles ont pu s'entretenir avec leurs avocats sur les tenants et aboutissants des termes de leur accord. Après avoir été informées de ce que les premiers juges prenaient d'ores et déjà acte, pour valoir ordonnance de mesures provisionnelles, du chiffre IV de la convention qui serait ratifiée dans le jugement au fond pour en faire partie intégrante, les parties ont encore confirmé leur volonté de divorcer et les termes de leur convention. Par ailleurs, celle-ci, qui traite de l'ensemble des effets accessoires du divorce, est complète et doit être qualifiée de claire au sens de l'art. 279 al. 1 CPC, ses termes étant dépourvus de toute ambiguïté. Il s'ensuit que toutes les conditions de ratification de la convention sur les effets accessoires du divorce étaient en l'espèce remplies. Partant, le moyen de l'appelante doit être rejeté.</w:t>
      </w:r>
    </w:p>
    <w:p>
      <w:r>
        <w:rPr>
          <w:b/>
        </w:rPr>
        <w:t>E. 4</w:t>
      </w:r>
    </w:p>
    <w:p>
      <w:r>
        <w:t>a) En définitive, l'appel doit être rejeté en application de l'art. 312 al. 1 CPC et le jugement entrepris confirmé. b) L'appelante a requis d'être mise au bénéfice de l'assistance judiciaire. Aux termes de l'art. 117 CPC, une personne a droit à l’assistance judiciaire si elle ne dispose pas de ressources suffisantes (let. a) et si sa cause ne paraît pas dépourvue de toute chance de succès (let. b). Pour déterminer les chances de succès d'un recours, le juge peut</w:t>
      </w:r>
    </w:p>
    <w:p>
      <w:r>
        <w:t>- 14 -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(TF 5A_858/2012 du 4 février 2013 c. 3.3.1.2). En l'espèce, il ne fait pas de doute que l'appelante ne dispose pas de ressources suffisantes au sens de l'art. 117 let. a CPC, dès lors qu'elle ne perçoit aucun revenu. S'agissant de la condition d’une procédure qui n’est pas dépourvue de chances de succès, il ressort du considérant précédent (cf. supra 3c) que son appel n'était pas d'emblée voué à l'échec. Partant, il y a lieu d'accorder totalement l'assistance judiciaire à A.P.________ pour la procédure de deuxième instance (art. 118 al. 2 et 119 al. 5 CPC), sous forme d’exonération des frais judiciaires ainsi que de l’assistance d’un avocat d’office, avec l’exigence d’une franchise mensuelle de 50 fr. à titre de participation aux frais de procès (art. 118 al. 1 let. b et c CPC). c) Les frais judiciaires de deuxième instance de l'appelante, qui succombe (art. 106 al. 1 CPC), sont arrêtés à 600 fr. (art. 63 al. 1 TFJC [tarif des frais judiciaires civils du 28 septembre 2010, RSV 270.11.5]) et laissés à la charge de l’Etat (art. 122 al. 1 let. b CPC). d) Dans sa liste d'opérations du 26 novembre 2013, le conseil de l'appelante a indiqué avoir consacré six heures et trente minutes à</w:t>
      </w:r>
    </w:p>
    <w:p>
      <w:r>
        <w:t>- 15 - l'accomplissement de son mandat. Au regard de la nature et de la difficulté de la cause ainsi que des opérations effectuées, à savoir une conférence avec la cliente et la préparation et rédaction d'un mémoire d'appel de neuf pages, il y lieu de réduire à quatre heures le temps consacré par celui-ci à la procédure de deuxième instance. Au tarif horaire de 180 fr. (art. 2 al. 1 let. a RAJ [règlement sur l'assistance judiciaire en matière civile du 7 décembre 2010, RSV 211.02.3]), l'indemnité de Me Robert Ayrton doit être fixée à 720 fr., montant auquel il convient d'ajouter la TVA, par 57 fr. 60, soit au montant total de 777 fr. 60. La bénéficiaire de l’assistance judiciaire est, dans la mesure de l’art. 123 CPC, tenue au remboursement des frais judiciaires et de l’indemnité du conseil d’office mis à la charge de l’Etat. e)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