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TD11.045058 vom 10. November 2016</w:t>
      </w:r>
    </w:p>
    <w:p>
      <w:r>
        <w:t>VD Tribunal cantonal, 2016-11-10, FR</w:t>
      </w:r>
    </w:p>
    <w:p>
      <w:r>
        <w:rPr>
          <w:b/>
        </w:rPr>
        <w:t xml:space="preserve">Quelle: </w:t>
      </w:r>
      <w:r>
        <w:t>https://mcp.opencaselaw.ch/entscheid/vd_gerichte_TD11.045058</w:t>
      </w:r>
    </w:p>
    <w:p>
      <w:r>
        <w:t>FR: VD_GERICHTE TD11.045058 du 10 novembre 2016</w:t>
      </w:r>
    </w:p>
    <w:p>
      <w:r>
        <w:t>IT: VD_GERICHTE TD11.045058 del 10 novembre 2016</w:t>
      </w:r>
    </w:p>
    <w:p>
      <w:pPr>
        <w:pStyle w:val="Heading2"/>
      </w:pPr>
      <w:r>
        <w:t>Erwägungen</w:t>
      </w:r>
    </w:p>
    <w:p>
      <w:r>
        <w:rPr>
          <w:b/>
        </w:rPr>
        <w:t>E. 3.1</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(JdT 2011 III 43 consid. 2 et les références citées). Toutefois, des novas peuvent être en principe librement introduits dans les causes régies par la maxime inquisitoire illimitée, par exemple sur la situation des enfants mineurs en droit matrimonial (Tappy, Les voies de droit du nouveau Code de procédure civile, JdT 2010 III 115, spéc. pp. 136-137 ; Jeandin, Commentaire CPC, 2011, n. 5 ad art. 296 CPC et les références citées).</w:t>
      </w:r>
    </w:p>
    <w:p>
      <w:r>
        <w:rPr>
          <w:b/>
        </w:rPr>
        <w:t>E. 3.2</w:t>
      </w:r>
    </w:p>
    <w:p>
      <w:r>
        <w:t>En l'espèce, A.K.________ a produit en procédure d'appel sa fiche de salaire (« bulletin de paie ») du mois d'août 2016 (pièce n° 3). Même si cette pièce a été établie après la clôture de l'instruction, intervenue le 29 août 2016, on constate, à l'examen des pièces au dossier et en particulier à la lecture du procès-verbal de l'audience du 29 août</w:t>
      </w:r>
    </w:p>
    <w:p>
      <w:r>
        <w:t>- 8 - 2016, que l'appelant n'a pas fait état en première instance d'une modification à la baisse de ses revenus depuis la signature de la convention des 2 et 3 juin 2015. Il n'allègue pas non plus en procédure d'appel que son salaire aurait subi une diminution depuis la clôture de l'instruction de première instance. Dès lors que la maxime des débats et la maxime de disposition (art. 277 CPC) sont applicables à la présente procédure relative à la modification de la contribution d'entretien due entre époux, ici seule litigieuse, que la pièce produite par l'appelant se rapporte à des faits qui auraient pu être invoqués en première instance et que l'appelant n'allègue pas avoir fait preuve de la diligence requise par les circonstances, la pièce n° 3 paraît irrecevable au regard de l'art. 317 al. 1 CPC. La question de la recevabilité de la pièce n° 3 peut cependant rester ouverte, dès lors que, quoi qu'il en soit, cette pièce ne permet pas de déterminer précisément les revenus de l'appelant et ainsi de rendre vraisemblable une modification sensible et durable de ceux-ci depuis la signature par les parties de leur convention des 2 et 3 juin 2015.</w:t>
      </w:r>
    </w:p>
    <w:p>
      <w:r>
        <w:rPr>
          <w:b/>
        </w:rPr>
        <w:t>E. 4.1</w:t>
      </w:r>
    </w:p>
    <w:p>
      <w:r>
        <w:t>Une fois ordonnées, des mesures protectrices de l'union conjugale ou des mesures provisionnelles dans la procédure en divorce ne peuvent être modifiées qu'aux conditions de l'art. 179 CC (applicable directement pour les premières, par renvoi de l'art. 137 al. 2 aCC pour les secondes). Aux termes de l'art. 179 al. 1 1e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consid. 3.2.2 ; TF 5A_183/2010 du 19 avril 2010 consid. 3.3.1 ; TF 5A_667/2007 du 7 octobre 2008 consid. 3.3). Ces mesures ne peuvent être modifiées que si, depuis leur prononcé, les circonstances de fait ont changé d'une manière essentielle et durable, notamment en matière de revenus, à savoir si un changement significatif</w:t>
      </w:r>
    </w:p>
    <w:p>
      <w:r>
        <w:t>- 9 -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5P.473/2006 du 19 décembre 2006 consid. 3 ; TF 5A_730/2008 du 22 décembre 2008 consid. 3.1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5A_147/2012 du 26 avril 2012 consid. 4.2.1).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ATF 137 III 604 consid. 4.1.2; TF 5A_547/2012 du 14 mars 2013 consid. 4.3 ; sur le tout: TF 5A_131/2014 du 27 mai 2014 consid. 2.1).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Ainsi une augmentation de charge minime ne saurait être prise en considération, sous peine de modifier la contribution d'entretien à chaque petit changement de circonstances (Juge délégué CACI du 24 avril 2014/207).</w:t>
      </w:r>
    </w:p>
    <w:p>
      <w:r>
        <w:t>- 10 -</w:t>
      </w:r>
    </w:p>
    <w:p>
      <w:r>
        <w:rPr>
          <w:b/>
        </w:rPr>
        <w:t>E. 4.2</w:t>
      </w:r>
    </w:p>
    <w:p>
      <w:r>
        <w:t>En l'espèce, c'est à bon droit que le premier juge est entré en matière sur la requête en modification des mesures provisionnelles formée par B.K.________, compte tenu de son retour en Suisse après s'être établie avec son fils C.________ durant environ une année en Birmanie, ce fait constituant un fait nouveau au sens de l'art. 179 al. 1 CC.</w:t>
      </w:r>
    </w:p>
    <w:p>
      <w:r>
        <w:rPr>
          <w:b/>
        </w:rPr>
        <w:t>E. 5.1</w:t>
      </w:r>
    </w:p>
    <w:p>
      <w:r>
        <w:t>Pour l'appelant, le premier juge aurait toutefois violé la jurisprudence fédérale en n'imputant pas de revenu hypothétique à l'intimée. Il fait valoir que l'on peut raisonnablement exiger de son épouse qu'elle reprenne sans délai une activité lucrative à temps partiel, lui permettant de réaliser un salaire mensuel de 3'250 francs. Indépendamment de l'imputation d'un revenu hypothétique à son épouse, l'appelant prétend en outre, s'agissant du revenu qu'il a réalisé en 2015, qu'il n'aurait pas perçu de bonus, de sorte qu'il ne serait pas en mesure de s'acquitter d'une contribution d'entretien de 3'000 fr. en faveur de l'intimée.</w:t>
      </w:r>
    </w:p>
    <w:p>
      <w:r>
        <w:rPr>
          <w:b/>
        </w:rPr>
        <w:t>E. 5.2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w:t>
      </w:r>
    </w:p>
    <w:p>
      <w:r>
        <w:t>- 11 -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ATF 126 III 10 consid. 2b). Pour arrêter le montant du salaire, le juge peut éventuellement se baser sur l'enquête suisse sur la structure des salaires réalisée par l'Office fédéral de la statistique, ou sur d'autres sources (conventions collectives de travail ; Philipp Mühlhauser, Das Lohnbuch 2014, Mindestlöhne sowie orts-und berufübliche Löhne in der Schweiz, Zurich 2014 ; ATF 137 III 118 consid. 3.2, JdT 2011 II 486 et les références citées ; TF 5A_99/2011 du 26 septembre 2011 consid. 7.4.1 non publié aux ATF 137 III 604 ; TF 5A_860/2011 du 11 juin 2012 consid. 4.1 ; TF 5A_933/2015 du 23 février 2016 consid. 6.1),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r>
        <w:t>- 12 -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w:t>
      </w:r>
    </w:p>
    <w:p>
      <w:r>
        <w:rPr>
          <w:b/>
        </w:rPr>
        <w:t>E. 5.3.1</w:t>
      </w:r>
    </w:p>
    <w:p>
      <w:r>
        <w:t>En l'espèce, comme en attestent les pièces produites par l'intimée, celle-ci a entrepris dès son retour en Suisse des démarches en vue de retrouver un emploi, qui sont pour l'heure restées vaines. Compte tenu du nombre important de recherches d'emploi effectuées pour des postes variés et au vu également de son inscription auprès de plusieurs agences de placement, on ne saurait en l'état lui faire grief de ne pas avoir suffisamment fait d'efforts pour parvenir à ces fins. Les refus qui lui ont été signifiés paraissent en effet être liés avant tout à la situation actuelle du marché de l'emploi, où la concurrence est vive, et au manque d'expérience récente de l'intimée, actuellement âgée de 49 ans. On rappellera à cet égard qu'il est légitime, au vu de l'âge de son fils, dont elle a la garde, qu'elle concentre essentiellement ses candidatures sur des postes à temps partiel. Dans ces circonstances, et dès lors également que son retour en Suisse est encore relativement récent, on ne saurait en l'état imputer un revenu hypothétique à l'intimée. L'intimée est toutefois invitée à persévérer dans ses démarches, tout en favorisant au maximum ses chances d'embauche, par</w:t>
      </w:r>
    </w:p>
    <w:p>
      <w:r>
        <w:t>- 13 - exemple en actualisant ses connaissances professionnelles, notamment s'agissant des programmes informatiques de comptabilité, en élargissant le champ géographique de ses postulations et en adaptant de meilleure manière sa lettre de motivation aux exigences et aux particularités du poste convoité. Si toutefois les recherches d'emploi ne devaient pas se concrétiser dans les prochains mois, au moins par l'accomplissement de missions temporaires, il faudra alors envisager, pour l'intimée, un élargissement de ses recherches à des postes moins qualifiés, par exemple des postes d'employée de commerce ou de secrétaire, sous peine de se voir imputer un revenu hypothétique.</w:t>
      </w:r>
    </w:p>
    <w:p>
      <w:r>
        <w:rPr>
          <w:b/>
        </w:rPr>
        <w:t>E. 5.3.2</w:t>
      </w:r>
    </w:p>
    <w:p>
      <w:r>
        <w:t>S'agissant des revenus de l'appelant, la fiche de salaire produite par ce dernier pour le seul mois d'août 2016 (pièce n° 3), dont la recevabilité est plus que douteuse (cf. consid. 3.2, supra), ne permet pas à elle seule de rendre vraisemblable une modification sensible et durable de son revenu depuis la convention des 2 et 3 juin 2015, où il était alors fait état d'un revenu de 12'700 fr. net par mois. De même, à défaut d'avoir invoqué ce moyen en première instance, l'appelant ne saurait valablement faire valoir pour la première fois en procédure d'appel le fait que la pension en faveur de l'intimée pourrait dépendre de l'éventuel versement d'un bonus par son employeur. Il ne ressort au demeurant rien de tel de la convention signée entre les parties les 2 et 3 juin 2015.</w:t>
      </w:r>
    </w:p>
    <w:p>
      <w:r>
        <w:rPr>
          <w:b/>
        </w:rPr>
        <w:t>E. 5.3.3</w:t>
      </w:r>
    </w:p>
    <w:p>
      <w:r>
        <w:t>En définitive, compte tenu du retour en Suisse de l'intimée et de la situation financière actuelle des parties, c'est à bon droit que le premier juge a estimé qu'il se justifiait de revenir à la situation antérieure au départ de B.K.________ en Birmanie, la condition financière des parties étant alors identique. Il convient dès lors de prévoir qu'A.K.________ contribuera à l'entretien de B.K.________ par le régulier versement, d'avance le premier</w:t>
      </w:r>
    </w:p>
    <w:p>
      <w:r>
        <w:t>- 14 - de chaque mois, d'une pension mensuelle de 3'000 fr., dès le 1er juillet 2016.</w:t>
      </w:r>
    </w:p>
    <w:p>
      <w:r>
        <w:rPr>
          <w:b/>
        </w:rPr>
        <w:t>E. 6.1</w:t>
      </w:r>
    </w:p>
    <w:p>
      <w:r>
        <w:t>Il résulte de ce qui précède que l'appel doit être rejeté et l'ordonnance entreprise confirmée. Les conditions d’octroi de l’assistance judiciaire prévues à l’art. 117 CPC étant réalisées, il se justifie d’accorder l’assistance judiciaire à l’intimée dans le cadre de la présente procédure d’appel, Me Kathrin Gruber étant désignée en qualité de conseil d'office de l'intimée, laquelle sera par ailleurs astreinte à payer une franchise mensuelle de 50 fr., dès et y compris le 1er décembre 2016.</w:t>
      </w:r>
    </w:p>
    <w:p>
      <w:r>
        <w:rPr>
          <w:b/>
        </w:rPr>
        <w:t>E. 6.2</w:t>
      </w:r>
    </w:p>
    <w:p>
      <w:r>
        <w:t>Les frais judiciaires de deuxième instance, arrêtés à 600 fr. (art. 63 al. 1 TFJC [tarif des frais judiciaires civils du 28 septembre 2010, RSV 270.11.5]), seront mis à la charge de l’appelant, qui succombe (art. 106 al. 1 CPC). L’appelant doit verser à l’intimée la somme de 1'000 fr. à titre de dépens de deuxième instance (art. 9 al. 2 TDC [tarif du 23 novembre 2010 des dépens en matière civile, RSV 270.11.6]). Dans sa liste d'opérations du 9 novembre 2016, Me Kathrin Gruber, conseil d'office de l'intimée, a indiqué avoir consacré 4 heures au dossier. Vu la nature du litige et les difficultés de la cause, il y a lieu d'admettre ce nombre d'heures. Les débours, allégués par Me Gruber à hauteur de 50 fr., seront réduits à 10 fr., dès lors qu'elle ne démontre pas avoir dû assumer des frais dépassant les coûts de deux envois en pli simple au Tribunal cantonal, d'un envoi à la partie adverse (copie de la réponse) et de quelques téléphones ou courriels à sa cliente. Il s'ensuit qu'au tarif horaire de 180 fr. (art. 2 al. 1 RAJ [règlement sur l'assistance judiciaire en matière civile du 7 décembre 2010, RSV 211.02.4]), l'indemnité de Me Gruber doit être fixée à 788 fr. 40. Elle sera arrondie à 790 francs.</w:t>
      </w:r>
    </w:p>
    <w:p>
      <w:r>
        <w:t>- 15 - La bénéficiaire de l’assistance judiciaire est, dans la mesure de l’art. 123 CPC, tenue au remboursement de l’indemnité due au conseil d’office et mise à la charge de l’Etat. Par ces motifs, la Juge déléguée de la Cour d’appel civile prononce : I. L’appel est rejeté. II. L'ordonnance est confirmée. III. Les frais judiciaires de deuxième instance, arrêtés à 600 fr. (six cents francs), sont mis à la charge de l'appelant. IV. La requête d’assistance judiciaire de l'intimée B.K.________ est admise, Me Kathrin Gruber étant désignée conseil d’office de l’intimée, laquelle est astreinte au paiement d’une franchise mensuelle de 50 fr. (cinquante francs) dès le 1er décembre 2016, à verser au Service juridique et législatif, case postale, 1014 Lausanne. V. L’indemnité d’office de Me Kathrin Gruber, conseil de l'intimée B.K.________, est arrêtée à 790 fr (sept cent nonante francs). VI. La bénéficiaire de l’assistance judiciaire est, dans la mesure de l’art. 123 CPC, tenue au remboursement de l’indemnité de son conseil d’office mise à la charge de l’Etat.</w:t>
      </w:r>
    </w:p>
    <w:p>
      <w:r>
        <w:t>- 16 - VII. L'appelant A.K.________ doit verser à l'intimée B.K.________ la somme de 1'000 fr. (mille francs) à titre de dépens de deuxième instance. VIII. L'arrêt est exécutoire. La juge déléguée : Le greffier : Du Le présent arrêt, dont la rédaction a été approuvée à huis clos, est notifié en expédition complète à : - Me Charles Munoz (pour M. A.K.________), - Me Kathrin Gruber (pour Mme B.K.________), et communiqué, par l'envoi de photocopies, à : - Mme la Présidente du Tribunal civil de l'arrondissement de La Côte. La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- 17 -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