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TD11.039264 vom 8. Juni 2015</w:t>
      </w:r>
    </w:p>
    <w:p>
      <w:r>
        <w:t>VD Tribunal cantonal, 2015-06-08, FR</w:t>
      </w:r>
    </w:p>
    <w:p>
      <w:r>
        <w:rPr>
          <w:b/>
        </w:rPr>
        <w:t xml:space="preserve">Quelle: </w:t>
      </w:r>
      <w:r>
        <w:t>https://mcp.opencaselaw.ch/entscheid/vd_gerichte_TD11.039264</w:t>
      </w:r>
    </w:p>
    <w:p>
      <w:r>
        <w:t>FR: VD_GERICHTE TD11.039264 du 8 juin 2015</w:t>
      </w:r>
    </w:p>
    <w:p>
      <w:r>
        <w:t>IT: VD_GERICHTE TD11.039264 del 8 giugno 2015</w:t>
      </w:r>
    </w:p>
    <w:p>
      <w:pPr>
        <w:pStyle w:val="Heading2"/>
      </w:pPr>
      <w:r>
        <w:t>Erwägungen</w:t>
      </w:r>
    </w:p>
    <w:p>
      <w:r>
        <w:rPr>
          <w:b/>
        </w:rPr>
        <w:t>E. 1</w:t>
      </w:r>
    </w:p>
    <w:p>
      <w:r>
        <w:t>T.________, née [...] le [...] 1968, de nationalité suisse, et l’intimé Q.________, né le [...] 1971, de nationalité française, se sont mariés le [...] 2000 à Vevey. Trois enfants sont issus de cette union : [...], née le [...] 2002, ainsi que [...] et [...], tous deux nés le [...] 2006.</w:t>
      </w:r>
    </w:p>
    <w:p>
      <w:r>
        <w:rPr>
          <w:b/>
        </w:rPr>
        <w:t>E. 2</w:t>
      </w:r>
    </w:p>
    <w:p>
      <w:r>
        <w:t>La séparation des parties a d’abord été réglée par voie de mesures protectrices de l’union conjugale. Les intéressés ont signé une première convention à l’audience de mesures protectrices de l’union conjugale du 12 juin 2009, ratifiée séance tenante par la Présidente du Tribunal pour valoir prononcé de mesures protectrices de l’union conjugale, ainsi libellée : « I. Parties s’autorisent à vivre séparées jusqu’au 30 juin 2010. Il. La garde sur les enfants [...], née en 2002, [...], né en 2006 et [...], née en 2006, est attribuée à leur mère, le père jouissant d’un droit de visite prévu en l’état pour être exercé un jour par semaine. Le but à court terme est de passer à un droit de visite usuel une fois connu le nouveau domicile de Q.________.</w:t>
      </w:r>
    </w:p>
    <w:p>
      <w:r>
        <w:t>- 4 - III. Q.________ quittera le domicile conjugal de [...] d’ici au 31 août 2009 au plus tard. IV. Q.________ contribuera à l’entretien des siens par le versement d’une somme de fr. 6’600 (six mille six cent francs), allocations familiales en sus, payable d’avance au début de chaque mois en mains de la créancière, dès et y compris le mois de juillet 2009. La gratification pour 2009, dont le montant sera connu en févier 2010, sera répartie à hauteur de 60% pour l’épouse et 40 % pour l’époux, après déduction de toutes les charges, y compris fiscales. Q.________ acquittera d’ici au 30 juin 2009 le solde dû à [...], dont le montant au 5 mai 2009 se montait à 5’490 fr. 85 (cinq mille quatre cent nonante francs et huitante-cinq centimes). Une éventuelle imputation de ce montant sera effectuée lors de la liquidation du régime matrimonial. V. Le bail de l’appartement conjugal, Rue [...], à [...] sera transféré au nom de l’épouse avec effet au 1er juillet 2009. »</w:t>
      </w:r>
    </w:p>
    <w:p>
      <w:r>
        <w:rPr>
          <w:b/>
        </w:rPr>
        <w:t>E. 3</w:t>
      </w:r>
    </w:p>
    <w:p>
      <w:r>
        <w:t>T.________ a déposé une nouvelle requête de mesures protectrices de l’union conjugale le 28 juin 2010. Lors de l’audience du 16 août 2010 relative à cette nouvelle procédure, les parties ont signé une nouvelle convention, ratifiée séance tenante par la Présidente du Tribunal pour valoir prononcé de mesures protectrices de l’union conjugale. Les parties ont ainsi prévu de continuer de vivre séparées jusqu’au 31 mars 2011 (I), que la garde des enfants continue d’être attribuée à la mère (Il), que le droit de visite de Q.________ sur ses enfants s’exercerait une semaine sur deux du samedi à 18h00 au dimanche à 18h00 et une semaine sur deux le dimanche de 12h30 à 18h00 (III), que la jouissance du domicile conjugal était attribuée à T.________, à charge pour elle d’en payer les charges (IV), que Q.________ contribuerait à l’entretien des siens par le régulier versement, en mains de T.________, d’un montant mensuel de 6’800 fr., allocations familiales non comprises, le premier de chaque mois, dès le 1er septembre 2010, et que la gratification pour 2010, dont le montant sera connu en février 2011, sera répartie à hauteur de 60 % pour l’épouse et 40 % pour l’époux, après déduction de toutes les charges, y compris fiscales (V).</w:t>
      </w:r>
    </w:p>
    <w:p>
      <w:r>
        <w:t>- 5 -</w:t>
      </w:r>
    </w:p>
    <w:p>
      <w:r>
        <w:rPr>
          <w:b/>
        </w:rPr>
        <w:t>E. 4</w:t>
      </w:r>
    </w:p>
    <w:p>
      <w:r>
        <w:t>Q.________ a ouvert action en divorce par le dépôt d’une demande unilatérale le 14 octobre 2011, concluant notamment au divorce.</w:t>
      </w:r>
    </w:p>
    <w:p>
      <w:r>
        <w:rPr>
          <w:b/>
        </w:rPr>
        <w:t>E. 5</w:t>
      </w:r>
    </w:p>
    <w:p>
      <w:r>
        <w:t>T.________ n’a pas réclamé une part des bonus perçus par son époux pour les années 2011 et 2012.</w:t>
      </w:r>
    </w:p>
    <w:p>
      <w:r>
        <w:rPr>
          <w:b/>
        </w:rPr>
        <w:t>E. 6</w:t>
      </w:r>
    </w:p>
    <w:p>
      <w:r>
        <w:t>A la suite du dépôt, par T.________, de deux requêtes de mesures superprovisionnelles et provisionnelles des 13 et 20 décembre 2013, deux ordonnances de mesures superprovisionnelles ont été rendues les 16 et 20 décembre 2013, l’une visant à bloquer les avoirs de prévoyance de son époux et l’autre à faire interdiction à Q.________ de disposer de l’éventuel bonus versé au début de l’année 2014. A l’audience de mesures provisionnelles du 7 mars 2014, les parties ont signé une convention, ratifiée séante tenante par la Présidente du Tribunal pour valoir ordonnance de mesures provisionnelles. Cette convention prévoyait notamment que Q.________ verserait à T.________ un montant de 9’000 fr. sur le bonus 2013 reçu le 7 février 2014, d’ici au 31 mars 2014, et que pour le reste, la contribution d’entretien était maintenue à 6’800 fr., allocations familiales en sus.</w:t>
      </w:r>
    </w:p>
    <w:p>
      <w:r>
        <w:rPr>
          <w:b/>
        </w:rPr>
        <w:t>E. 7</w:t>
      </w:r>
    </w:p>
    <w:p>
      <w:r>
        <w:t>Par requête de mesures superprovisionnelles et provisionnelles du 14 janvier 2015, T.________ a pris les conclusions suivantes: « Par voie de mesures superprovisionnelles: I. Interdire à Q.________ de disposer de son bonus versé au début de l’année 2015, ce sous menace des peines prévues à l’article 292 CP. Par voie de mesures provisionnelles: Il. Confirmer la mesure prise à titre superprovisionnel. III. Dire que le bonus de Q.________ pour 2014, dont le montant sera connu ultérieurement, sera reversé à hauteur de 60 % au moins à T.________. » Par ordonnance de mesures superprovisionnelles du 15 janvier 2015, la Présidente du Tribunal a fait droit à la conclusion</w:t>
      </w:r>
    </w:p>
    <w:p>
      <w:r>
        <w:t>- 6 - superprovisionnelle prise par la requérante dans sa requête du 14 janvier 2015. Q.________ a perçu son bonus pour l’année 2014 en février 2015. Le montant net de celui-ci s’est élevé à 20'541 fr. 05. Q.________ s’est déterminé le 6 mars 2015. Il a conclu au rejet des conclusions prises par T.________. Une audience de mesures provisionnelles s’est tenue le 23 mars 2015, au cours de laquelle les parties ont convenu que Q.________ était autorisé à prélever un montant de 8’000 fr. sur le bonus 2014, et qu’il verserait d’ici au 31 mars 2015 à T.________ la somme de 1’800 fr. à prélever sur le bonus 2014 et à faire valoir sur la décision à intervenir. En d roit : 1. a) L'art. 308 al. 1 let. b et al. 2 CPC (Code de procédure civile du 19 décembre 2008; RS 272) ouvre la voie de l'appel contre les ordonnances de mesures provisionnelles rendues dans les causes patrimoniales dont la valeur litigieuse au dernier état des conclusions devant l’autorité inférieure s’élève à 10'000 fr. au moins. Les ordonnances de mesures provisionnelles étant régies par la procédure sommaire (art. 248 CPC), le délai pour l’introduction de l’appel est de dix jours (art. 314 al. 1 CPC). Un membre de la Cour d’appel civile statue comme juge unique sur les appels formés contre les décisions sur mesures provisionnelles (art. 84 al. 2 LOJV [Loi d’organisation judiciaire du 12 décembre 1979, RSV 173.01]). b) Formé en temps utile par une partie qui y a intérêt et portant sur des conclusions patrimoniales qui sont supérieures à 10'000 fr. (au moins 60% de 20'541 fr. 05, soit 12'324 fr. 65), l’appel est recevable.</w:t>
      </w:r>
    </w:p>
    <w:p>
      <w:r>
        <w:t>- 7 - 2.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3. L’appelant conteste l’interprétation, par le premier juge, des conventions des 12 juin 2009, 16 août 2010 et 7 mars 2014. Il soutient à cet égard que c’est à tort que celui-ci a retenu que la volonté des parties lors de la conclusion de la convention était que le partage du bonus devait intervenir toutes les années. a) 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 2.3.2; 129 III 664 c.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 2.3.2; 129 III 702 c. 2.4). Cette interprétation objective s'effectue non seulement d'après le texte et le contexte des déclarations, mais</w:t>
      </w:r>
    </w:p>
    <w:p>
      <w:r>
        <w:t>- 8 - également sur le vu des circonstances qui les ont précédées et accompagnées, à l'exclusion des événements postérieurs (ATF 135 III 295 c. 5.2; 132 III 626 c. 3.1 in fine; TF 4A_219/2012 du 30 juillet 2012 c. 2.5). En effet, le comportement ultérieur des parties n’a pas d’importance dans l’interprétation objective du contrat, le moment déterminant étant celui de la conclusion du contrat (ATF 132 III 626 c. 3.1, JT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 3.2.1 ; 135 III 295 c. 5.2 ; 133 III 61 c. 2.2.1, 675 c. 3.3 ). b) En l’espèce, la séparation des parties a été réglée par plusieurs conventions depuis l’année 2009. En 2009, il a été prévu que le bonus serait partagé à hauteur de 60% en faveur de T.________ et les enfants et à hauteur de 40% en faveur de Q.________. Le bonus des années 2010 et 2013 a également été partagé à la suite de conventions conclues entre les parties. Aucune des conventions ne posent en termes généraux le principe du partage du bonus pour les années à venir. En dépit de cela, l’appelant a toutefois toujours accepté de partager le bonus, qu’il soit exprimé en pourcentage ou en chiffre. On voit ainsi que la réelle et commune intention des parties a toujours été de partager les bonus touchés par l’époux. Il s’ensuit que l’appréciation du premier juge ne prête pas le flanc à la critique lorsque celui-ci retient qu’il serait contraire aux conventions passées jusque-là de considérer que le partage du bonus ne devait intervenir qu’une seule fois. Au demeurant, le revenu net effectif comprend non seulement la part fixe du salaire, mais également les commissions, gratifications,</w:t>
      </w:r>
    </w:p>
    <w:p>
      <w:r>
        <w:t>- 9 -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partage du bonus, comme élément d’un salaire, n’a donc rien d’insolite. Le grief est infondé et doit ainsi être rejeté. 4. L’appelant semble faire valoir que le partage du bonus entamerait son minimum vital. Pourtant, il a lui-même admis qu’aucun fait nouveau n’était intervenu dans la situation financière des parties. Il n’y a donc pas lieu de revoir la situation des parties qui a prévalu pour la fixation de la contribution d’ entretien. Ce deuxième grief, subsidiaire, doit également être rejeté. 5. Compte tenu de ce qui précède, l’appel doit être rejeté dans la procédure de l'art. 312 al. 1 CPC et l'ordonnance confirmée. Les frais judiciaires de deuxième instance, arrêtés à 1’000 fr., seront mis à la charge de l'appelant qui succombe. L'intimée n'ayant pas été invitée à se déterminer, il n'y a pas lieu à l'allocation de dépens. Par ces motifs, le juge délégué de la Cour d’appel civile du Tribunal cantonal, statuant en application de l'art. 312 al. 1 CPC, prononce : I. L’appel est rejeté.</w:t>
      </w:r>
    </w:p>
    <w:p>
      <w:r>
        <w:t>- 10 - II. L’ordonnance est confirmée. III. Les frais judiciaires de deuxième instance, arrêtés à 1'000 fr. (mille francs), sont mis à la charge de l’appelant. IV. L’arrêt motivé est exécutoire. Le juge délégué : La greffière : Du 10 juin 2015 Le dispositif de l'arrêt qui précède est communiqué par écrit aux intéressés. La greffière : Du L'arrêt qui précède, dont la rédaction a été approuvée à huis clos, est notifié en expédition complète, par l'envoi de photocopies, à : - Me Patricia Michellod (pour Q.________), - Me Emmanuel Hoffmann (pour T.________).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