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TD11.026627 vom 23. Mai 2012</w:t>
      </w:r>
    </w:p>
    <w:p>
      <w:r>
        <w:t>VD Tribunal cantonal, 2012-05-23, FR</w:t>
      </w:r>
    </w:p>
    <w:p>
      <w:r>
        <w:rPr>
          <w:b/>
        </w:rPr>
        <w:t xml:space="preserve">Quelle: </w:t>
      </w:r>
      <w:r>
        <w:t>https://mcp.opencaselaw.ch/entscheid/vd_gerichte_TD11.026627</w:t>
      </w:r>
    </w:p>
    <w:p>
      <w:r>
        <w:t>FR: VD_GERICHTE TD11.026627 du 23 mai 2012</w:t>
      </w:r>
    </w:p>
    <w:p>
      <w:r>
        <w:t>IT: VD_GERICHTE TD11.026627 del 23 maggio 2012</w:t>
      </w:r>
    </w:p>
    <w:p>
      <w:pPr>
        <w:pStyle w:val="Heading2"/>
      </w:pPr>
      <w:r>
        <w:t>Erwägungen</w:t>
      </w:r>
    </w:p>
    <w:p>
      <w:r>
        <w:rPr>
          <w:b/>
        </w:rPr>
        <w:t>E. 4</w:t>
      </w:r>
    </w:p>
    <w:p>
      <w:r>
        <w:t>a) Le recourant fait valoir aussi que c’est à tort que le montant de ses débours a été ramené à la somme forfaitaire de 100 fr., dès lors que ses frais effectifs se sont élevés à 329 fr. 50. b) Selon l’art. 3 al. 3 RAJ, en l’absence de liste de débours, le conseil juridique commis d’office reçoit une indemnité forfaitaire de 50 fr. pour une affaire transigée avant l’ouverture d’action et de 100 fr. dans les autres cas. Cette disposition n’est pas directement applicable en l’espèce puisque le recourant a établi une liste de débours. Il faut donc déterminer ce que ceux-ci comprennent. Comme l’a exposé la Chambre des recours Il dans un arrêt du</w:t>
      </w:r>
    </w:p>
    <w:p>
      <w:r>
        <w:rPr>
          <w:b/>
        </w:rPr>
        <w:t>E. 8</w:t>
      </w:r>
    </w:p>
    <w:p>
      <w:r>
        <w:t>décembre 2009/248 c. 4b, les débours consistent dans le paiement effectif d’une somme précise pour une opération déterminée, et non pas dans les frais de confection des pièces ordinaires, qui sont inclus dans les frais généraux (Poudret/Haldy/Tappy, Procédure civile vaudoise, 3e éd., 2002, n. 5 ad art. 91 CPC-VD,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ss, cité par Jomini, Les honoraires et débours de l’avocat vaudois et leur modération, in JT 1982 III 2, n. 9 p. 5).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la 22 c. 4b). Ce dernier arrêt, qui traite de la rémunération de l’avocat d’office, rappelle</w:t>
      </w:r>
    </w:p>
    <w:p>
      <w:r>
        <w:t>- 10 - que l’avocat a droit au remboursement de ses débours, en particulier de ses frais de téléphone et de vacation, voire « les frais de photocopie, autant qu’ils ne sont pas compris dans les frais généraux de l’étude ».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c) En l’espèce, les frais d’ouverture de dossier, de correspondance et de photocopies sont compris dans les frais généraux, de sorte que subsistent comme débours facturés séparément le déplacement à l’audience par 17 fr. 50 et les téléphones par 32 francs. Le total étant inférieur à 100 fr., c’est à bon droit que le premier juge a alloué l’indemnité forfaitaire de l’art. 3 al. 3 RAJ. 5. Il résulte de ce qui précède que le recours doit être rejeté dans la procédure de l'art. 322 al. 1 CPC et la décision entreprise confirmée. Les frais judiciaires de deuxième instance, arrêtés à 150 fr. (art. 75 TFJC [tarif des frais judiciaires en matière civile du 28 septembre 2010; RSV 270.11.5] par analogie), doivent être mis à la charge du recourant qui succombe (art. 106 al. 1 CPC). Il n’y a pas matière à allouer de dépens.</w:t>
      </w:r>
    </w:p>
    <w:p>
      <w:r>
        <w:t>- 11 -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B.________. IV. L'arrêt motivé est exécutoire. Le président : La greffière : Du 24 mai 2012 Le dispositif de l'arrêt qui précède est communiqué par écrit aux intéressés. La greffière :</w:t>
      </w:r>
    </w:p>
    <w:p>
      <w:r>
        <w:t>- 12 - Du L'arrêt qui précède, dont la rédaction a été approuvée à huis clos, est notifié en expédition complète, par l'envoi de photocopies, à : - Me B.________ La Chambre des recours civile considère que la valeur litigieuse est de 1'398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