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TD09.007696 vom 17. Juni 2016</w:t>
      </w:r>
    </w:p>
    <w:p>
      <w:r>
        <w:t>VD Tribunal cantonal, 2016-06-17, FR</w:t>
      </w:r>
    </w:p>
    <w:p>
      <w:r>
        <w:rPr>
          <w:b/>
        </w:rPr>
        <w:t xml:space="preserve">Quelle: </w:t>
      </w:r>
      <w:r>
        <w:t>https://mcp.opencaselaw.ch/entscheid/vd_gerichte_TD09.007696</w:t>
      </w:r>
    </w:p>
    <w:p>
      <w:r>
        <w:t>FR: VD_GERICHTE TD09.007696 du 17 juin 2016</w:t>
      </w:r>
    </w:p>
    <w:p>
      <w:r>
        <w:t>IT: VD_GERICHTE TD09.007696 del 17 giugno 2016</w:t>
      </w:r>
    </w:p>
    <w:p>
      <w:pPr>
        <w:pStyle w:val="Heading2"/>
      </w:pPr>
      <w:r>
        <w:t>Erwägungen</w:t>
      </w:r>
    </w:p>
    <w:p>
      <w:r>
        <w:rPr>
          <w:b/>
        </w:rPr>
        <w:t>E. 14</w:t>
      </w:r>
    </w:p>
    <w:p>
      <w:r>
        <w:t>LPers-VD est la seule voie de droit, ouverte au demandeur, pour faire trancher par l'autorité judiciaire les prétentions qu'elle a émises le 21 janvier 2009. b) Les parties ne contestent pas que la fonction exercée par le demandeur ait fait l'objet d'une transition directe. Ainsi, la voie de recours devant la Commission de recours instituée par le Décret ne lui est pas ouverte (art. 5 du Décret a contrario). Le Tribunal de céans est, en conséquence, compétent pour connaître du présent litige. c) L'article 16 alinéa 3 LPers-VD dispose que les actions devant le Tribunal de Prud'hommes de l'Administration cantonale se prescrivent</w:t>
      </w:r>
    </w:p>
    <w:p>
      <w:r>
        <w:t>- 47 - par un an lorsqu'elles tendent exclusivement à des conclusions pécuniaires et par soixante jours dans les autres causes. La prescription court dès l'exigibilité de la créance ou dès la communication de la décision contestée. L'action du demandeur tend à une modification en sa faveur du niveau qui a été attribué à sa fonction au moment de la bascule DECFO-SYSREM – soit, en d’autres termes, à la fixation d’un nouveau traitement plus élevé – ainsi qu’au versement d’un salaire rétroactif. Il s’agit clairement d’une réclamation pécuniaire dont la valeur litigieuse a d’ailleurs pu être calculée, à 26'983.69 fr. sur la base des éléments fournis par le défendeur. Il en découle que le délai d’un an est applicable. Comme les éléments relatifs à la nouvelle classification de cette dernière lui ont été communiqués en décembre 2008, la demande du 21 janvier 2009 a été déposée en temps utile. Au vu de ce qui précède, la demande est recevable en la forme. II. a) Aux termes de l'article 19 alinéa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b) Conformément à l'article 23 LPers-VD, les collaborateurs de l'Etat ont droit à une rémunération sous la forme d'un salaire correspondant à la fonction qu'ils occupent en proportion de leur taux d'activité (lettre a) ou sous la forme d'une indemnité ou émolument (lettre b). Le Conseil d'Etat arrête l'échelle des salaires et fixe le nombre de classes et leur amplitude (art. 24 al. 1 LPers-VD). Il détermine également les modalités de progression du salaire (augmentation annuelle) à</w:t>
      </w:r>
    </w:p>
    <w:p>
      <w:r>
        <w:t>- 48 - l'intérieur de chaque classe (art. 24 al. 2 LPers-VD). Enfin, ce dernier définit les fonctions et les évalue (art. 24 al. 3 LPers-VD). c) Le présent litige porte sur la position du demandeur dans le nouveau système de classification des fonctions de l’Etat de Vaud, plus particulièrement sur le niveau qui lui a été attribué. Le Tribunal ne saurait, dans un tel domaine, substituer son appréciation à celle de l’employeur, mais il lui incombe de vérifier que le résultat du système respecte les principes de droit administratif, à tout le moins s’agissant de la légalité, de l’égalité et de l’interdiction de l’arbitraire. III. a) Aux termes de ses conclusions telles que précisées lors de l’audience du 5 avril 2016, le demandeur a conclu à son enclassement au niveau 11A de la chaîne 142, principalement au motif que ses compétences sont identiques à celles d’un maître de disciplines académiques et que sa spécialisation en tant qu’enseignant de travaux manuels n’est qu’une orientation liée à l’organisation de l’établissement dans lequel il travaille. Le défendeur a réfuté ce raisonnement, du fait que DECFO- SYSREM repose sur une logique de poste. En découle donc la possibilité pour un collaborateur exerçant plusieurs activités différentes de bénéficier de rémunérations différentes pour chacune des activités. En outre, le demandeur n’est pas au bénéfice d’une formation équivalente au master pédagogique, titre requis pour le niveau 11 de la chaîne 142. b) Bien que le système de rémunération de l’Etat de Vaud ait été construit sur la base d’une logique de poste, la logique des titres entre en considération face à une profession sans cahier des charges, telle que celle des enseignants (TD09.006836). Avec l’entrée en vigueur du nouveau système de rémunération des fonctions, le défendeur a formalisé les conséquences d’une absence de titre à l’article 6 RSRC, dont la teneur est la suivante : Art 6 Réduction en cas d’absence de titre</w:t>
      </w:r>
    </w:p>
    <w:p>
      <w:r>
        <w:t>- 49 - 1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3 L’autorité d’engagement fixe en règle générale au collaborateur un délai raisonnable pour satisfaire aux conditions d’accès à la fonction. Lorsqu’une formation est nécessaire, le règlement du 9 décembre 2002 sur la formation continue s’applique. Le 1er octobre 2010, le défendeur a produit une note interprétative de cet article établie par la Délégation du Conseil d’Etat aux ressources humaines. Cette note contient notamment les éléments suivants : « 1. Contexte (….) 2. Teneur de l’art. 6 RSRC (….) 3. 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w:t>
      </w:r>
    </w:p>
    <w:p>
      <w:r>
        <w:t>- 50 -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w:t>
      </w:r>
    </w:p>
    <w:p>
      <w:r>
        <w:t>- 51 -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un arrêt du 5 juin 2013 (TF, 8C_637/2012) que «cette note est le reflet de l’intention du Gouvernement cantonal dans son ensemble. On peut donc admettre que, même si elle a été rédigée a posteriori, elle est censée exprimer la volonté de l’auteur du règlement lors de l’adoption de celui-ci » (TF, 8C_637/2012, consid. 7.5). Dans un autre arrêt récent du 15 octobre 2014, le Tribunal fédéral a confirmé que l’alinéa 1 de l’article 6 RSRC s’applique également au corps enseignant. L’enseignant qui ne bénéficie pas du titre académique exigé – en l’occurrence un bachelor académique – fait donc l’objet d’une pénalité quels que soient ses titres pédagogiques. (8C_418/2013, p.6, consid. 3.2). c) En l’espèce, l’Etat de Vaud, dans sa classification, a posé comme exigence pour l’emploi-type « maître-sse de disciplines académiques », soit le niveau 11 de la chaîne 142, une formation académique de niveau bachelor et pédagogique de niveau master. Le demandeur a initalement obtenu un brevet de l’Ecole normale d’Yverdon. En 1980, il a obtenu un brevet pour l’enseignement dans les classes à options, équivalent au BFC1. Puis, le 20 mars 1992, il a obtenu un brevet pour l’enseignement des travaux manuels. En conséquence, le demandeur ne bénéficie pas des titres requis actuellement pour l’emploi-type « maître-sse de disciplines académiques ». IV. a) Le demandeur fait valoir une violation de l’égalité de traitement garantie à l’article 8 Constitution fédérale (RS.101), déplorant la différence de classification entre les maître-sses de disciplines spéciales et les maître-sses de disciplines académiques et invoquant la quasi</w:t>
      </w:r>
    </w:p>
    <w:p>
      <w:r>
        <w:t>- 52 - identité des fiches-emplois les concernant ces deux catégories d’enseignants. b) Selon la jurisprudence, une décision viole le principe de l'égalité de traitement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consid. 3.1; ATF 121 I 49, rés. JdT 1997 I 711; ATF 123 I 1, JdT 1999 I 547). Une différence de salaire entre deux enseignants ayant les mêmes responsabilités et les mêmes types de classes doit pouvoir être justifiée afin d'être acceptable. S'agissant de la rémunération des enseignants, la jurisprudence fédérale considère que des critères fondés sur la formation</w:t>
      </w:r>
    </w:p>
    <w:p>
      <w:r>
        <w:t>- 53 - préalable et les titres obtenus sont des éléments objectifs (ATF 123 I 1). Une différence de rémunération de l'ordre de 20 à 26% entre deux catégories d'enseignants, dont la formation était différente, mais qui enseignaient en partie dans la même école a été également admise par le Tribunal fédéral (TF 2P77/1996 du 27 septembre 1996, consid.2).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(TF 8C_991/2010, consid. 5.3, ATF 123 I 1 déjà cité, consid.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2008 I p. 612). Ainsi,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Par ailleurs, le Tribunal fédéral admet qu'un système de rémunération présente nécessairement un certain schématisme (ATF 121 I 102 consid. 4). c) En l’espèce, le demandeur compare deux activités qui sont différentes. Les fiches emplois-types sont certes proches dans leur contenu, ce que S.________ a expliqué par le fait que ce sont des descriptions génériques d’un emploi et non pas un cahier des charges. Il y a cependant des différences significatives entre ces deux fiches, notamment le degré de responsabilités et de compétences attendues, plus élevé pour les maître-sses de disciplines académiques. De plus, les maître-</w:t>
      </w:r>
    </w:p>
    <w:p>
      <w:r>
        <w:t>- 54 - sses de disciplines académiques interviennent plus souvent dans les conseils de classes, ou les entretiens avec les parents d’élèves. L’inégalité de traitement ne s’applique qu’aux situations comparables, ce qui n’est pas le cas concernant les maître-sses de disciplines spéciales et académiques (TD09.009789). Pour ces motifs, le grief doit être rejeté. V. a) Le demandeur a invoqué l’arbitraire dans l’application de la méthode GFO, au motif du manque d’accès aux pièces déterminantes, ainsi que celui de l’absence de mise en œuvre d’une expertise. Il n’a en revanche pas contesté le fait que, dans l’abstrait, la méthode GFO apparaît non arbitraire. Fondé sur la jurisprudence du TRIPAC (TD09.007014) ainsi que celle du Tribunal fédéral (ATF 138 I 49), le défendeur a rappelé qu’est déterminant le fait que le résultat du système ne présente pas un caractère arbitraire. La question serait ainsi dépourvue de pertinence. b) Selon la jurisprudence, l'arbitraire, prohibé par l'article 9 Cst.,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On rappellera par ailleurs que les autorités cantonales disposent d'un large pouvoir d'appréciation en ce qui concerne les questions de rémunération (ATF 123 I 1, JdT 1999 I 547; ATF 121 I 49, JdT 1997 I 711, ATF 121 I 102 c. 4a précités).</w:t>
      </w:r>
    </w:p>
    <w:p>
      <w:r>
        <w:t>- 55 -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Par ailleurs,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En l’espèce, B.________, soit le Directeur général de l’enseignement obligatoire ainsi que S.________, responsable du domaine du Service du Personnel de l’Etat de Vaud ont été entendus en qualité de témoin sur l’application de DECFO-SYSREM ainsi que sur la situation particulière du demandeur. S.________ s’est, en outre, déterminé par écrit et de manière détaillée sur les questions précises du demandeur. De plus, certains documents, notamment les fiches des emploi-types et la notation de la fonction 14210 et 14211, ont été produits. D’autres documents, dont le rapport méthodologique du système de classification sont accessibles à tous sur le site internet de l’Etat de Vaud. Le Tribunal de céans a d’abord admis de soumettre le cas du demandeur à une expertise. Les parties n’ont pas réussi à trouver d’accord à ce sujet, si bien que le tribunal a tenu une audience supplémentaire afin de débattre de la question de l’expertise. Les parties se sont finalement mises d’accord pour soumettre des questions à M.</w:t>
      </w:r>
    </w:p>
    <w:p>
      <w:r>
        <w:t>- 56 - S.________ qui s’est déterminé de manière précise sur dix pages. Le Tribunal de céans a donc largement et suffisamment instruit la cause. Partant, ce grief doit être rejeté. VI. a) Le demandeur a également soutenu que sa classification inférieure à celle de maîtres de disciplines académiques résulterait du fait qu’il exerce une profession typiquement féminine, donc une profession moins reconnue ou considérée. b) L’égalité de traitement est garantie par l’article 8 de la Constitution fédérale. L’homme et la femme ont droit à un salaire égal pour un travail de valeur égale au sens de l' en relation avec l', ainsi qu’un droit égal sur les conditions de fait requises pour qu’une profession soit identifiée à un genre en vue de l'examen d'une éventuelle discrimination salariale (indirecte) fondée sur le sexe (ATF 141 II 411). En admettant la qualification de profession typiquement féminine dans l’hypothèse d’une proportion de femmes de 70% dans une même profession à l’intérieur d’un canton, la Haute Cour reconnaît donc que la rémunération de cette fonction peut et doit faire l'objet d'un examen sous l'angle de l'interdiction de la discrimination salariale fondée sur le sexe, en particulier sur l'existence éventuelle de motifs non objectifs, à caractère discriminatoire, en raison desquels la profession dite féminine n’aurait pas été colloquée correctement. c) En matière de fardeau de la preuve, l’article 6 LEg déroge au système général de l’article 8 CC: l’existence d’une discrimination est présumée lorsque le justiciable la rend vraisemblable. En l’espèce, le défendeur a produit, à l’audience de jugement, un tableau indiquant le nombre d’hommes et de femmes dans l’emploi-type maître-sse de disciplines spéciales, respectivement académiques, duquel il ressort un pourcentage de 74% de femmes. Toutefois, le demandeur n’a pas rendu vraisemblable que la classification de cet emploi-type comportait une</w:t>
      </w:r>
    </w:p>
    <w:p>
      <w:r>
        <w:t>- 57 - discrimination. Il a omis de démontrer, au stade de la vraisemblance, en quoi précisément le caractère féminin dudit emploi impliquerait une discrimination dans son cas particulier d’enseignant de travaux manuels. A fortiori, le demandeur n’a pas rapporté la preuve stricte de la discrimination. Partant, le grief n’est pas suffisamment étayé et doit être rejeté. VII. a) Au regard des éléments qui précèdent, les conclusions du demandeur doivent être intégralement rejetées. b) Les frais judiciaires sont arrêtés à 4’510 fr. (quatre mille cinq cent dix francs) à la charge du demandeur L.________, et à 2'810 fr. (deux mille huit cent dix francs) à la charge du défendeur ETAT DE VAUD (art. 16 al. 7 LPers ; 154, 180 al. 1, 181 al. 1, 183 aTFJC), selon le décompte suivant : Demanderesse : Dépôt de la demande : 1’000.- fr. Audience de conciliation : 1’000.- fr. Audience de jugement :1’000.- fr. du 12.01.2011 Audition de témoins : 60.- fr Audience incidente : 450- fr. du 07.01.2013 Audience de jugement : 500.- fr. du 04.12.2014 Audience de jugement : 500.- fr. du 05.04.2016 Défendeur : Réponse : 250.- fr. Audience de conciliation :250.- fr. Audience de jugement :1’250.- fr. du 12.01.2011 Frais de témoins : 60.- fr Audience de jugement : 500.- fr.</w:t>
      </w:r>
    </w:p>
    <w:p>
      <w:r>
        <w:t>- 58 - du 04.12.2014 Audience de jugement : 500.- fr. du 05.04.2016 Obtenant gain de cause, le défendeur devrait logiquement être mis au bénéfice de dépens, ce d’autant qu’il a procédé par l’intermédiaire d’un mandataire externe. Toutefois, dans un souci d’équité, et compte tenu d’une certaine opacité liée à la manière dont la classe 10 a été mise en place pour les enseignants de travaux manuels, sans documentation particulière, mais par recoupement, il apparaît légitime de laisser à chaque partie ses frais et de renoncer à mettre à la charge du demandeur des dépens pour le conseil de la partie défenderesse. Le Tribunal relève qu’il n’a pas été facile d’obtenir toutes les explications nécessaires de la part du défendeur, alors qu’on aurait pu attendre de l’employeur qu’il les amène spontanément, ce qui justifie aussi de renoncer à l’allocation de dépens en faveur de la collectivité publique qu’est la partie défenderesse. Statuant au complet et à huis clos, immédiatement à l'issue de l'audience du 5 avril 2016, le Tribunal de prud'hommes de l'Administration cantonale prononce : I. Les conclusions prises par le demandeur L.________ le 27 janvier 2009 telles que précisées le 5 avril 2016 sont intégralement rejetées ; II. Les frais judiciaires sont arrêtés à 4’510 fr. (quatre mille cinq cent dix francs) à la charge du demandeur L.________, et à 2'810 fr. (deux mille huit cent dix francs) à la charge du défendeur ETAT DE VAUD;</w:t>
      </w:r>
    </w:p>
    <w:p>
      <w:r>
        <w:t>- 59 - III. Le présent jugement est rendu sans dépens. IV. Toutes autres ou plus amples conclusions sont rejetées. La présidente : La greffière : Christine SATTIVA SPRING, v.-p. Marie-Alice NOËL, a.h.</w:t>
      </w:r>
    </w:p>
    <w:p>
      <w:r>
        <w:t>- 60 - Du 26 septembre 2016 Les motifs du jugement qui précède sont notifiés aux parties. Recours : Les parties peuvent recourir auprès du Tribunal cantonal dans un délai de trente jours dès la notification de la présente décision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 dessus. Recours en matière de frais uniquement : Si seul le montant des frais est contesté, les parties peuvent recourir auprès du Président du Tribunal cantonal dans un délai de dix jours dès la présente notification par déclaration écrite et signée indiquant les points sur lesquels la décision est critiquée (art. 23 aTFJC).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