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T310.004680 vom 21. März 2011</w:t>
      </w:r>
    </w:p>
    <w:p>
      <w:r>
        <w:t>VD Tribunal cantonal, 2011-03-21, FR</w:t>
      </w:r>
    </w:p>
    <w:p>
      <w:r>
        <w:rPr>
          <w:b/>
        </w:rPr>
        <w:t xml:space="preserve">Quelle: </w:t>
      </w:r>
      <w:r>
        <w:t>https://mcp.opencaselaw.ch/entscheid/vd_gerichte_T310.004680</w:t>
      </w:r>
    </w:p>
    <w:p>
      <w:r>
        <w:t>FR: VD_GERICHTE T310.004680 du 21 mars 2011</w:t>
      </w:r>
    </w:p>
    <w:p>
      <w:r>
        <w:t>IT: VD_GERICHTE T310.004680 del 21 marzo 2011</w:t>
      </w:r>
    </w:p>
    <w:p>
      <w:pPr>
        <w:pStyle w:val="Heading2"/>
      </w:pPr>
      <w:r>
        <w:t>Erwägungen</w:t>
      </w:r>
    </w:p>
    <w:p>
      <w:r>
        <w:rPr>
          <w:b/>
        </w:rPr>
        <w:t>E. 1</w:t>
      </w:r>
    </w:p>
    <w:p>
      <w:r>
        <w:t>a) Depuis l'entrée en vigueur le 1er janvier 2011 du CPC (Code de procédure civile du 19 décembre 2008; RS 272), les recours sont régis par le droit en vigueur au moment de la communication de la décision aux parties (art. 405 al. 1 CPC). Dite communication est tenue pour opérée dès la signification du judicatum, en particulier dès l'envoi du dispositif de la</w:t>
      </w:r>
    </w:p>
    <w:p>
      <w:r>
        <w:t>- 8 - décision aux parties (Tappy, Le droit transitoire applicable lors de l'introduction de la nouvelle procédure civile unifiée, in JT 2010 III 11 ss, spéc. pp. 31 s.; TF 4A_106/2011 du 31 mars 2011 c. 2). En l'occurrence, il importe peu que la motivation du jugement attaqué soit intervenue en 2011, dès lors que le dispositif de la décision a été adressé pour notification aux parties le 18 novembre 2010. Sont donc applicables les dispositions en vigueur à cette date, en particulier celles contenues dans la LJT (loi sur la juridiction du travail, dans sa version du 17 mai 1999 en vigueur jusqu'au 31 décembre 2010; RSV 173.61) ainsi que dans le CPC- VD (Code de procédure civile du 14 décembre 1966, en vigueur jusqu'au 31 décembre 2010; RSV 270.11). b) Résultant du contrat de travail, le litige qui divise les parties est régi par l'art. 343 CO (Code des obligations du 30 mars 1911; RS 220)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l'occurrence, le recours est exclusivement en réforme. Interjeté en temps utile, il est formellement recevable en application des art. 46 à 48 aLJT.</w:t>
      </w:r>
    </w:p>
    <w:p>
      <w:r>
        <w:rPr>
          <w:b/>
        </w:rPr>
        <w:t>E. 2</w:t>
      </w:r>
    </w:p>
    <w:p>
      <w:r>
        <w:t>Saisie d'un recours en réforme contre un jugement principal rendu par un tribunal de prud'hommes, la Chambre des recours revoit librement la cause en fait et en droit (art. 452 al. 2 CPC-VD, applicable par renvoi de l'art. 46 al. 2 aLJT). Les parties ne peuvent toutefois articuler des</w:t>
      </w:r>
    </w:p>
    <w:p>
      <w:r>
        <w:t>- 9 -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Les mesures d'instruction prévues à l'art. 456a al. 1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 (JT 2003 III 3 précité c. 3a, avec renvois à l'exposé des motifs).</w:t>
      </w:r>
    </w:p>
    <w:p>
      <w:r>
        <w:rPr>
          <w:b/>
        </w:rPr>
        <w:t>E. 3</w:t>
      </w:r>
    </w:p>
    <w:p>
      <w:r>
        <w:t>a) La recourante indique contester uniquement le montant de 2'895 francs 30 mis à sa charge en rapport avec les heures supplémentaires de l'année 2008. A cet égard, elle prétend que les premiers juges ont arrêté à tort le nombre des heures supplémentaires pour l'année en question à 129 au lieu de 69,5. En l'occurrence, après avoir considéré qu'il n'y avait pas de raison justifiant de s'écarter des bordereaux horaires originaux remplis par le travailleur, les premiers juges ont retenu que la défenderesse avait déduit à tort de ces décomptes un total de 59,5 heures supplémentaires. Leur raisonnement était le suivant (cf. jugement, p. 22) :</w:t>
      </w:r>
    </w:p>
    <w:p>
      <w:r>
        <w:t>- 10 - "(…), il [Réd. : le Tribunal de prud'hommes] décide de ne pas tenir compte des deux déductions (34 et 25.5 heures) que la défenderesse a opérées sur le total des heures de 2008 résultant [des] bordereaux (...). Ces déductions ont en effet été faites sur la base de la lettre du demandeur adressée à la défenderesse le 21 avril 2009, dans laquelle ce dernier revendiquait 157 heures supplémentaires, en déduisant quatre jours compensés et trois jours de vacances. La défenderesse n'a toutefois jamais reconnu les revendications du demandeur du 21 avril 2009, ni accordé le moindre bien-fondé à ce décompte, de sorte qu'elle ne saurait maintenant en tirer profit pour diminuer le nombre d'heures supplémentaires, telles que retranscrites dans les bordereaux qu'elle a produits. Il s'ensuit que les heures supplémentaires du demandeur en 2008 doivent être fixées à 129 et non à 69.5, comme admis par la défenderesse. (…) Dans ces conditions, le Tribunal estime qu'il y a lieu de rémunérer les 59.5 heures soustraites par le demandeur en 2008. (…)" La recourante tient ce raisonnement pour erroné dès lors qu'il résulte des bordereaux des heures et des décomptes du demandeur que celui-ci a pris congé pendant quatre jours pour compenser une partie des heures supplémentaires et qu'il a en outre pris trois jours de vacances en trop (cf. recours, pp. 2-3). b) Il résulte des pièces 20 (décompte du 21 avril 2009 adressé par le demandeur à la défenderesse) et 21 (décompte des heures supplémentaires pour la période de janvier à juin 2009) ainsi que de la mention apportée par la défenderesse au pied de la pièce 109 (décompte de l'horaire mensuel de travail et des heures mensuelles de travail déclarées par le demandeur pour l'année 2008) que la défenderesse admet les heures supplémentaires comptabilisées par le demandeur en 2008, mais procède à la compensation d'une partie des prétentions relatives avec trois jours de vacances que le demandeur admet, dans son décompte du 21 avril 2009, avoir pris en trop en 2008 ainsi qu'avec quatre jours pris en avril 2009. Il s'agit de déterminer si ces jours de vacances pris en trop ont déjà été pris en compte dans les décomptes globaux, auquel cas ils ne sauraient être déduits une seconde fois, ou si cela n'a pas été le cas. A cet égard, il convient de relever que les pièces 21 et 109 précitées ne sont pas datées.</w:t>
      </w:r>
    </w:p>
    <w:p>
      <w:r>
        <w:t>- 11 - L'existence des 59,5 (34 + 25,5) heures supplémentaires travaillées étant admise (il résulte de son contenu que la pièce 109 a été établie par l'employeur), c'est à l'employeur d'établir que la compensation qu'il opère avec des jours de congé, que l'employé admet avoir pris et dont l'existence est donc elle aussi avérée, est justifiée. En première instance, le demandeur s'est prévalu des différences entre les décomptes horaires pour les mois d'avril à juin 2009 qu'il a produits (pièces 28 à 31) avec les originaux produits par l'employeur. On ne peut toutefois rien tirer de ces pièces surchargées de ratures et recouvertes de produit correcteur blanc (Tipp-Ex), qui ne sauraient justifier de la compensation des sept jours opérée par l'employeur (étant rappelé que les sept jours pris sont admis et que la question qui se pose ne concerne que la compensation). L'employeur admet au total 156,5 heures supplémentaires (addition des 69,5 heures résultant de la pièce 109 pour 2008 et des 87 heures résultant de la pièce 110 [décompte de l'horaire mensuel de travail et des heures mensuelles de travail déclarées par l'employé pour l'année 2009], toutes deux établies par l'employeur). En définitive, le point décisif est que la déduction des trois et quatre jours qui correspondent aux 34 et 25,5 heures litigieuses est opérée par le demandeur sur le décompte aboutissant aux 157 heures à concurrence desquelles le principe de la rémunération a été admis (seul manquait le versement de la majoration de 25% pour heures supplémentaires). Dans ces conditions et en l'absence d'un autre décompte fiable, la déduction opérée une seconde fois par l'employeur sur la pièce 109 n'est pas justifiable et c'est dès lors à juste titre que les premiers juges ont admis les prétentions du demandeur à concurrence du montant correspondant aux 59,5 heures déduites à tort. L'employeur soutient que cela revient à payer deux fois des heures certes effectuées mais compensées par des vacances. Il ne l'établit toutefois pas, le décompte du 21 avril 2009 n'étant, vu ce qui précède, pas opposable à l'employé. En outre, il résulte de la pièce 110 établie par l'employeur lui- même que seules 124,5 heures étaient attendues de l'employé en avril</w:t>
      </w:r>
    </w:p>
    <w:p>
      <w:r>
        <w:t>- 12 - 2009, ce qui permet d'en déduire que les vacances litigieuses ont déjà été prises en compte. Cela étant, les critiques de la recourante s'avèrent mal fondées.</w:t>
      </w:r>
    </w:p>
    <w:p>
      <w:r>
        <w:rPr>
          <w:b/>
        </w:rPr>
        <w:t>E. 4</w:t>
      </w:r>
    </w:p>
    <w:p>
      <w:r>
        <w:t>En définitive, le recours doit être rejeté, en application de l'art. 465 al. 1 CPC-VD, et le jugement entrepris confirmé.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w:t>
      </w:r>
    </w:p>
    <w:p>
      <w:r>
        <w:t>- 13 - Du 21 mars 2011 Le dispositif de l'arrêt qui précède est communiqué par écrit aux intéressés. Le greffier : Du L'arrêt qui précède, dont la rédaction a été approuvée à huis clos, est notifié en expédition complète, par l'envoi de photocopies, à : - Thierry Zumbach, aab (pour G.________ SA), - Syndicat Unia (pour U.________). La Chambre des recours considère que la valeur litigieuse est de 4'418 francs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