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T208.029924 vom 8. März 2012</w:t>
      </w:r>
    </w:p>
    <w:p>
      <w:r>
        <w:t>VD Tribunal cantonal, 2012-03-08, FR</w:t>
      </w:r>
    </w:p>
    <w:p>
      <w:r>
        <w:rPr>
          <w:b/>
        </w:rPr>
        <w:t xml:space="preserve">Quelle: </w:t>
      </w:r>
      <w:r>
        <w:t>https://mcp.opencaselaw.ch/entscheid/vd_gerichte_T208.029924</w:t>
      </w:r>
    </w:p>
    <w:p>
      <w:r>
        <w:t>FR: VD_GERICHTE T208.029924 du 8 mars 2012</w:t>
      </w:r>
    </w:p>
    <w:p>
      <w:r>
        <w:t>IT: VD_GERICHTE T208.029924 del 8 marzo 2012</w:t>
      </w:r>
    </w:p>
    <w:p>
      <w:pPr>
        <w:pStyle w:val="Heading2"/>
      </w:pPr>
      <w:r>
        <w:t>Erwägungen</w:t>
      </w:r>
    </w:p>
    <w:p>
      <w:r>
        <w:rPr>
          <w:b/>
        </w:rPr>
        <w:t>E. 7</w:t>
      </w:r>
    </w:p>
    <w:p>
      <w:r>
        <w:t>a) L'intimée et appelante par voie de jonction, pour sa part, se plaint de ce que les premiers juges ne lui aient rien alloué du chef des heures supplémentaires qu’elle prétend avoir fournies. Elle se réfère sur ce point aux divers témoignages recueillis, d’où il ressortirait qu’elle a consacré à tout le moins une demi-heure par jour au nettoyage du salon. b) L'art. 321c CO impose au travailleur d'effectuer des heures supplémentaires dans la mesure où il peut s’en charger et où les règles de la bonne foi permettent de le lui demander (al. 1); sauf accord contraire, l'employeur est tenu de rétribuer les heures de travail supplémentaires qui ne sont pas compensées par un congé en versant le salaire normal majoré d'un quart au moins (al. 3). Le fardeau de la preuve des heures de travail supplémentaires incombe au travailleur. Il lui appartient de prouver, d'une part, qu'il a accompli des heures supplémentaires et, d'autre part, que celles-ci ont été ordonnées par l'employeur ou qu'elles étaient nécessaires à la sauvegarde des intérêts légitimes de ce dernier (TF 4C.92/2004 du 13 août 2004 c. 3.2; ATF 86 II 155 c. 2). S'il n'est plus possible de prouver le nombre exact d'heures effectuées, le juge peut appliquer par analogie l'art. 42 al. 2 CO pour en estimer la quotité. Afin toutefois de ne pas détourner la règle de preuve résultant de l'art. 321c CO, le travailleur est tenu, en tant que cela peut raisonnablement être exigé de lui, d'alléguer et prouver toutes les circonstances propres à évaluer le nombre desdites heures</w:t>
      </w:r>
    </w:p>
    <w:p>
      <w:r>
        <w:t>- 21 - supplémentaires. La conclusion que ces heures ont réellement été effectuées dans la mesure alléguée doit s'imposer au juge avec une certaine force (TF 4A_419/2011 du 23 novembre 2011 c. 3.3.1 et les références citées). c) En l'espèce, c'est à juste titre que les premiers juges ont considéré qu'il n'était pas établi que l'appelante par voie de jonction ait effectué des heures supplémentaires. D'une part, il n'apparaît pas que l’employeur ait ordonné à son employée de faire le ménage après les heures d’ouverture du salon, la seule tâche attendue de la part du personnel étant de donner un coup d’aspirateur en fin de journée, ce qui pouvait, selon le témoin [...], se faire pendant les heures de travail convenues. Sur ce point, il faut relever le fait, rapporté par les témoins, qu’une femme de ménage venait deux à trois fois par semaine nettoyer le salon de l'appelant principal. D'autre part, l'appelante par voie de jonction n'a jamais rien réclamé à l'appelant principal en cours d’emploi de ce chef et n'a jamais tenu un décompte de ses prétendues heures supplémentaires. S'agissant de l'application de l’art. 42 al. 2 CO, comme le préconise l'appelante par voie de jonction (cf. demande, aIl. 32), elle implique que le juge soit convaincu, avec une certaine force, que l'employé a bien exécuté des heures supplémentaires et elle ne dispense pas l'intéressé d’alléguer et de prouver toutes les circonstances propres à évaluer le nombre d'heures supplémentaires effectuées (cf. Carruzzo, Le contrat individuel de travail, Zurich/Bâle/Genève, pp. 65-66 et les références citées). Or, in casu, l’allégation de l'appelante par voie de jonction sur ce point est quasi inexistante (cf. demande, aIl. 7) et les circonstances propres à évaluer le nombre des prétendues heures supplémentaires effectuées ne sont pas établies. L'appréciation des premiers juges peut dès lors être confirmée, le premier moyen de l'appelante par voie de jonction devant être rejeté.</w:t>
      </w:r>
    </w:p>
    <w:p>
      <w:r>
        <w:rPr>
          <w:b/>
        </w:rPr>
        <w:t>E. 8</w:t>
      </w:r>
    </w:p>
    <w:p>
      <w:r>
        <w:t>a) Dans un second moyen, l’appelante par voie de jonction reproche aux premiers juges de ne rien lui avoir alloué au titre de</w:t>
      </w:r>
    </w:p>
    <w:p>
      <w:r>
        <w:t>- 22 - réparation de son tort moral en relation avec le mobbing qu’elle prétend avoir subi de la part de son employeur. b) En droit privé, les actes de mobbing sont prohibés par l'art. 328 al. 1 CO, qui dispose que l'employeur protège et respecte, dans les rapports de travail, la personnalité du travailleur; il manifeste les égards voulus pour sa santé et veille au maintien de la moralité (TF 4A_245/2009 du 6 avril 2010 c. 4.2 et les références citées).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(cf. entre autres TF 4A_32/2010 du 17 mai 2010 c. 3.2; TF 4A_245/2009 du 6 avril 2010 c. 4.2 et les références citées). c) En l'espèce, les premiers juges ont considéré qu’il n’était pas établi que l'appelante par voie de jonction ait été victime de mobbing, de menaces et d’insultes de la part de son employeur. Ils ont relevé que la plainte pénale déposée contre ce dernier n’avait pas abouti et que, par ailleurs, aucun témoin direct du comportement imputé à l'employeur n’avait pu confirmer les déclarations de l'appelante par voie de jonction à</w:t>
      </w:r>
    </w:p>
    <w:p>
      <w:r>
        <w:t>- 23 - ce sujet. Ils ont également souligné que l'appelante par voie de jonction n’avait pas été en arrêt de travail au-delà de la fin des rapports de travail et qu’elle avait retrouvé du travail au mois de novembre 2008 dans un salon à Rolle. Quoi qu’il en soit de la réalité du comportement prêté à l'employeur, ce qui précède tendait à démontrer que l'appelante par voie de jonction n’avait pas été particulièrement affectée par son attitude. Là encore, on ne peut que se rallier à cette manière de voir. Même si deux anciens employés de l'appelant principal entendus comme témoins ([...] et [...]) ont décrit ce dernier comme un personnage manipulateur, ils n’ont pas rapporté de faits permettant de corroborer les dires de l'appelante par voie de jonction concernant les insultes et menaces dont elle prétend avoir fait l’objet de la part de son employeur. En particulier, le témoin [...] a déclaré que si lui-même avait été rabaissé par l'appelant principal, il n’avait pas pu constater une attitude de rabaissement ou de dénigrement de la part de ce dernier envers l'appelante par voie de jonction. L’attestation médicale produite devant l’autorité de première instance (pièce 11) ne fait quant à elle que rapporter les dires de la patiente quant aux liens qu’elle établit entre son état dépressif et le comportement de son employeur sans que ces liens n'aient été observés par le médecin lui- même (cf. TF 4A_32/2010 du 17 mai 2010 c. 2.4 et TF 4A_245/2009 du 6 avril 2010). Par ailleurs, pour ce qui est des témoins dont l'appelante par voie de jonction requiert l'audition devant la Cour de céans (appel joint, ch. V, p. 17), elle n’expose pas les raisons pour lesquelles ils n'auraient pas pu être entendus en première instance devant les premiers juges, de sorte qu'il n'y a pas lieu de donner suite à cette réquisition. Ce moyen de l'appelante par voie de jonction s'avère dès lors également infondé et doit être rejeté.</w:t>
      </w:r>
    </w:p>
    <w:p>
      <w:r>
        <w:rPr>
          <w:b/>
        </w:rPr>
        <w:t>E. 9</w:t>
      </w:r>
    </w:p>
    <w:p>
      <w:r>
        <w:t>En définitive, l'appel principal et l'appel joint doivent être rejetés et le jugement entrepris confirmé.</w:t>
      </w:r>
    </w:p>
    <w:p>
      <w:r>
        <w:t>- 24 - Il n’est pas perçu de frais judiciaires de deuxième instance, s’agissant d’un litige portant sur un contrat de travail dont la valeur litigieuse est inférieure à 30'000 fr. (art. 114 let. c CPC). Aucune des parties n'obtenant gain de cause, il n'est pas alloué de dépens de deuxième instance (cf. art. 106 al. 1 CPC).</w:t>
      </w:r>
    </w:p>
    <w:p>
      <w:r>
        <w:rPr>
          <w:b/>
        </w:rPr>
        <w:t>E. 10</w:t>
      </w:r>
    </w:p>
    <w:p>
      <w:r>
        <w:t>Dans sa liste des opérations, le conseil d'office de l'appelante par voie de jonction a indiqué avoir consacré treize heures et trente minutes à l'accomplissement de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que le total d'heures indiqué, s'il est certes relativement élevé, se justifie du fait que le mandat a été repris en cours de procédure. Au tarif horaire de 180 fr., l'indemnité de Me Youri Widmer doit être fixée à 2'430 fr., montant auquel il convient d'ajouter 30 fr. de débours et la TVA sur le tout par 196 fr. 80, soit au total 2656 fr. 80. La bénéficiaire de l’assistance judiciaire est tenue, dans la mesure de l’art. 123 CPC, au remboursement des frais judiciaires et de l’indemnité à son conseil d’office mis à la charge de l’Etat.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