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SU25.027610 vom 24. September 2025</w:t>
      </w:r>
    </w:p>
    <w:p>
      <w:r>
        <w:t>VD Tribunal cantonal, 2025-09-24, FR</w:t>
      </w:r>
    </w:p>
    <w:p>
      <w:r>
        <w:rPr>
          <w:b/>
        </w:rPr>
        <w:t xml:space="preserve">Quelle: </w:t>
      </w:r>
      <w:r>
        <w:t>https://mcp.opencaselaw.ch/entscheid/vd_gerichte_SU25.027610</w:t>
      </w:r>
    </w:p>
    <w:p>
      <w:r>
        <w:t>FR: VD_GERICHTE SU25.027610 du 24 septembre 2025</w:t>
      </w:r>
    </w:p>
    <w:p>
      <w:r>
        <w:t>IT: VD_GERICHTE SU25.027610 del 24 settembre 2025</w:t>
      </w:r>
    </w:p>
    <w:p>
      <w:pPr>
        <w:pStyle w:val="Heading2"/>
      </w:pPr>
      <w:r>
        <w:t>Erwägungen</w:t>
      </w:r>
    </w:p>
    <w:p>
      <w:r>
        <w:rPr>
          <w:b/>
        </w:rPr>
        <w:t>E. 1</w:t>
      </w:r>
    </w:p>
    <w:p>
      <w:r>
        <w:t>Par certificat d’héritier du 8 septembre 2025, le Juge de paix du district du Jura-Nord vaudois (ci-après : le juge de paix) a certifié que P.________, domiciliée de son vivant à [...], était décédée le [...] 2025 et qu’elle avait laissé comme seule héritière légale sa fille, R.________, domiciliée à [...]. Par décision du même jour, le juge de paix a arrêté les émoluments et débours à titre de frais de la succession de la défunte précitée à hauteur de 510 fr., somme à verser en faveur de l’Etat de Vaud par R.________. En droit, le juge de paix a notamment comptabilisé, en application des art. 41 al. 1 et 45 al. 1 TFJC (tarif des frais judiciaires civils du 28 septembre 2010 ; BLV 270.11.5), un émolument relatif à la dévolution successorale (première parentèle) par 250 fr. et un émolument lié à la délivrance du certificat d’héritier à hauteur de 124 fr., ce qui portait le total des frais de la succession à 510 fr. au vu des autres émoluments facturés par 26 fr. (39a TFJC), 65 fr. et 45 francs.</w:t>
      </w:r>
    </w:p>
    <w:p>
      <w:r>
        <w:rPr>
          <w:b/>
        </w:rPr>
        <w:t>E. 2</w:t>
      </w:r>
    </w:p>
    <w:p>
      <w:r>
        <w:t>Le 12 septembre 2025, R.________ (ci-après : la recourante) a recouru contre la décision fixant les frais de la succession, en concluant à la suppression de cette facture. Elle a allégué que feu sa mère ne percevait que le montant de l’AVS et une petite rente lesquels étaient « partis dans les frais de crémation etc. ». Aussi, n’ayant reçu le certificat d’héritier que trois mois et demi après le décès, la recourante avait été obligée de payer le loyer de l’appartement de feu sa mère jusqu’au mois d’octobre 2025.</w:t>
      </w:r>
    </w:p>
    <w:p>
      <w:r>
        <w:rPr>
          <w:b/>
        </w:rPr>
        <w:t>E. 3.1</w:t>
      </w:r>
    </w:p>
    <w:p>
      <w:r>
        <w:t>Les décisions relatives au certificat d’héritier et à sa délivrance relèvent de la juridiction gracieuse (TF 5A_995/2018 du 7 octobre 2019 consid. 1 et réf. cit.). En matière de dévolution successorale, le droit</w:t>
      </w:r>
    </w:p>
    <w:p>
      <w:r>
        <w:t>- 3 -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28 janvier 2025/23 ; CREC 15 juillet 2022/177 et réf. cit.).</w:t>
      </w:r>
    </w:p>
    <w:p>
      <w:r>
        <w:rPr>
          <w:b/>
        </w:rPr>
        <w:t>E. 3.2</w:t>
      </w:r>
    </w:p>
    <w:p>
      <w:r>
        <w:t>L’art. 110 CPC ouvre la voie du recours séparé de l’art. 319 let. b ch. 1 CPC contre les décisions sur les frais, lesquels comprennent les frais judiciaires et les dépens (art. 95 al. 1 CPC). Le recours doit être introduit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3.3</w:t>
      </w:r>
    </w:p>
    <w:p>
      <w:r>
        <w:t>En l’espèce, la procédure sommaire étant applicable à la juridiction gracieuse, le délai de recours était de dix jours conformément à l’art. 321 al. 2 CPC. Le recours a ainsi été formé en temps utile, auprès de l’autorité compétente, par une partie qui a un intérêt digne de protection (art. 59 al. 2 let. a CPC).</w:t>
      </w:r>
    </w:p>
    <w:p>
      <w:r>
        <w:rPr>
          <w:b/>
        </w:rPr>
        <w:t>E. 4.1</w:t>
      </w:r>
    </w:p>
    <w:p>
      <w:r>
        <w:t>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w:t>
      </w:r>
    </w:p>
    <w:p>
      <w:r>
        <w:t>- 4 -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réf. cit., RSPC 2021 p. 252 ; ATF 141 III 569 consid. 2.3.3 ; TF 5A_693/2022 du 6 mars 2023 consid. 6.2). En l’absence de motivation suffisante, le recours doit être déclaré irrecevable (TF 5A_734/2023 du 18 décembre 2023 consid. 3.3 ; TF 4A_101/2014 du 26 juin 2014 consid. 3.3 ; parmi d’autres : CREC 28 janvier 2025/23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réf. cit.).</w:t>
      </w:r>
    </w:p>
    <w:p>
      <w:r>
        <w:rPr>
          <w:b/>
        </w:rPr>
        <w:t>E. 4.2</w:t>
      </w:r>
    </w:p>
    <w:p>
      <w:r>
        <w:t>En l’espèce, la recourante conteste les frais de 510 fr. mis à sa charge en invoquant implicitement sa situation financière serrée. Elle n’expose toutefois pas les motifs pour lesquels il y aurait lieu de prendre en compte son dénuement pour régler les frais de la succession de sa défunte mère – qu’elle ne conteste pas avoir acceptée – et ne renvoie à aucune pièce précise du dossier pour étayer son recours. Elle ne formule pas non plus de grief concernant le calcul ni la quotité du montant à verser en faveur de l’Etat. La recourante conteste certes le délai de trois mois et cinq jours pour rendre le certificat d’héritier. Cependant, une telle durée ne saurait constituer un déni de justice au sens de l’art. 319 let. c CPC (cf. ATF 130 I 312 consid. 5.1 et 5.2 ; CREC 6 janvier 2015/9) ou influer sur la quotité des frais. Il en résulte que l’intéressée ne conteste en rien la décision attaquée et ne démontre pas en quoi celle-ci serait arbitraire ou violerait le droit. Aussi, l’acte de recours ne remplit pas les</w:t>
      </w:r>
    </w:p>
    <w:p>
      <w:r>
        <w:t>- 5 - exigences minimales de motivation qui incombaient à la recourante et est partant irrecevable.</w:t>
      </w:r>
    </w:p>
    <w:p>
      <w:r>
        <w:rPr>
          <w:b/>
        </w:rPr>
        <w:t>E. 5</w:t>
      </w:r>
    </w:p>
    <w:p>
      <w:r>
        <w:t>En définitive, le recours doit être déclaré irrecevable selon le mode procédural de l’art. 322 al. 1 in fine CPC. Le présent arrêt peut être rendu sans frais judiciaires de deuxième instance (art. 11 TFJC). Il n’y a pas lieu d’allouer de dépens (art. 95 al. 3 et 106 al. 1 CPC). Par ces motifs, la Chambre des recours civile du Tribunal cantonal, en application de l'art. 322 al. 1 CPC, prononce : I. Le recours est irrecevable. II. L’arrêt, rendu sans frais de deuxième instance, est exécutoire.</w:t>
      </w:r>
    </w:p>
    <w:p>
      <w:r>
        <w:t>- 6 - La présidente : La greffière : Du L'arrêt qui précède, dont la rédaction a été approuvée à huis clos, est notifié à : - Mme R.________. La Chambre des recours civile considère que la valeur litigieuse est de 510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