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SU19.053070 vom 20. August 2020</w:t>
      </w:r>
    </w:p>
    <w:p>
      <w:r>
        <w:t>VD Tribunal cantonal, 2020-08-20, FR</w:t>
      </w:r>
    </w:p>
    <w:p>
      <w:r>
        <w:rPr>
          <w:b/>
        </w:rPr>
        <w:t xml:space="preserve">Quelle: </w:t>
      </w:r>
      <w:r>
        <w:t>https://mcp.opencaselaw.ch/entscheid/vd_gerichte_SU19.053070</w:t>
      </w:r>
    </w:p>
    <w:p>
      <w:r>
        <w:t>FR: VD_GERICHTE SU19.053070 du 20 août 2020</w:t>
      </w:r>
    </w:p>
    <w:p>
      <w:r>
        <w:t>IT: VD_GERICHTE SU19.053070 del 20 agosto 2020</w:t>
      </w:r>
    </w:p>
    <w:p>
      <w:pPr>
        <w:pStyle w:val="Heading2"/>
      </w:pPr>
      <w:r>
        <w:t>Erwägungen</w:t>
      </w:r>
    </w:p>
    <w:p>
      <w:r>
        <w:rPr>
          <w:b/>
        </w:rPr>
        <w:t>E. 1</w:t>
      </w:r>
    </w:p>
    <w:p>
      <w:r>
        <w:t>A.H.________, née le [...] 1934, est décédée intestat à [...] le [...] 2019. Elle a laissé comme seuls héritiers son fils [...], ainsi que ses petits-fils A.Q.________ et B.Q.________. Par courrier recommandé du 17 janvier 2020, le juge de paix a invité les héritiers de feu A.H.________ à se déterminer sur le sort de sa succession. Etait annexé à ce courrier un formulaire pour l’acceptation ou la répudiation de la succession, ainsi que des renseignements relatifs à la liquidation de la succession. A.Q.________ a déclaré accepter la succession par déclaration signée le 22 janvier 2020. B.H.________ a répudié la succession par déclaration du 23 janvier 2020. B.Q.________ a tacitement accepté la succession.</w:t>
      </w:r>
    </w:p>
    <w:p>
      <w:r>
        <w:t>- 3 -</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BLV 211.02], mai 2009, n. 87 in fine ad art. 108 du projet, p. 77). Dans le canton de Vaud, l'acceptation et la répudiation de la succession (art. 566 ss CC) sont soumises aux art. 135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d'héritiers (CREC 1er septembre 2014/302 ; CREC 9 mai 2014/203 ; CREC 17 avril 2014/143) ou encore de prolongation ou restitution du délai de répudiation (CREC 17 mars 2011/10 consid. 1a).</w:t>
      </w:r>
    </w:p>
    <w:p>
      <w:r>
        <w:t>- 4 - Le recours, écrit et motivé, doit s'exercer dans les dix jours à compter de la notification de la décision motivée (art. 321 al. 1 et 2 CPC), auprès de la Chambre des recours civile (art. 73 al. 1 LOJV [loi vaudoise d'organisation judiciaire du 12 septembre 1979 ; BLV 173.01]).</w:t>
      </w:r>
    </w:p>
    <w:p>
      <w:r>
        <w:rPr>
          <w:b/>
        </w:rPr>
        <w:t>E. 1.2</w:t>
      </w:r>
    </w:p>
    <w:p>
      <w:r>
        <w:t>En l’espèce, formé en temps utile par une partie qui a un intérêt digne de protection (art. 59 al. 2 let. a CPC) et dûment motivé, le recours est recevable.</w:t>
      </w:r>
    </w:p>
    <w:p>
      <w:r>
        <w:rPr>
          <w:b/>
        </w:rPr>
        <w:t>E. 2</w:t>
      </w:r>
    </w:p>
    <w:p>
      <w:r>
        <w:t>Le recours est recevable pour violation du droit (art. 320 let. a CPC [Code de procédure civile du 19 décembre 2008 ; RS 272])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3</w:t>
      </w:r>
    </w:p>
    <w:p>
      <w:r>
        <w:t>ad art. 576 CC, pp. 661-662 ; Escher, Zürcher Kommentar, 1960, n. 4 ad art. 576 CC, pp. 211 ss ; CREC II 16 mars 2007/49).</w:t>
      </w:r>
    </w:p>
    <w:p>
      <w:r>
        <w:rPr>
          <w:b/>
        </w:rPr>
        <w:t>E. 3.1</w:t>
      </w:r>
    </w:p>
    <w:p>
      <w:r>
        <w:t>Le recourant, qui ne conteste pas avoir accepté la succession, souhaite désormais se défaire de cette acceptation, en raison du coût qu’elle provoque, celui-ci devant notamment s’acquitter de manière solidaire des émoluments et débours liés à la succession, qui ne comporterait aucun bien. Le recourant prétend avoir ignoré cette situation au moment de l’acceptation et se prévaut de sa situation financière précaire, alléguant être personnellement endetté à raison de plus de 50'000 francs.</w:t>
      </w:r>
    </w:p>
    <w:p>
      <w:r>
        <w:t>- 5 -</w:t>
      </w:r>
    </w:p>
    <w:p>
      <w:r>
        <w:rPr>
          <w:b/>
        </w:rPr>
        <w:t>E. 3.2</w:t>
      </w:r>
    </w:p>
    <w:p>
      <w:r>
        <w:t>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(art. 65 let. a ORF [ordonnance sur le registre foncier du 23 septembre 2011 ; RS 211.432.1]), les retraits de dépôts bancaires, le recouvrement de créances, etc. (Steinauer, Le droit des successions, 2e éd., Berne 2015, n. 902, pp. 441 ss). Il ne s’agit donc que d’une pièce de légitimation provisoire qui permet à son titulaire de disposer des biens composant la succession. Le certificat d’héritier ne constitue donc pas la reconnaissance d’un droit matériel, mais uniquement d’une situation de fait (cf. TF 5A/88 du 23 septembre 2011, SJ 2012 I 117 ; ATF 118 II 108 consid. 2a ; ATF 104 II 75 ; ATF 91 II 395), de sorte qu’il ne saurait contenir des règles de partage (cf. CREC 18 septembre 2019/257 consid. 2.2 ; CREC 27 janvier 2012/31 consid. 4). Aux termes de l’art. 576 CC (Code civil suisse du 10 décembre 1907 ; RS 210), l’autorité compétente peut, pour de justes motifs, accorder une prolongation de délai ou fixer un nouveau délai aux héritiers légaux.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w:t>
      </w:r>
    </w:p>
    <w:p>
      <w:r>
        <w:t>- 6 - communications sont difficiles ou sa situation personnelle (maladie, grand âge). L’autorité examinera notamment si l’héritier a fait son possible pour clarifier la situation (Steinauer, Le droit des successions, 2e éd., 2015, nn. 975-975a, pp. 513-514). Si l’héritier le demande pour un juste motif et avec la célérité commandée par les circonstances, l’autorité compétente est tenue de lui accorder la prolongation ou la restitution du délai de répudiation (Piotet, Droit successoral, Traité de droit privé suisse, tome IV, 1975, p. 522 ; ATF 114 II 220 consid. 4 ; CREC II 16 mars 2006/268). En revanche, la négligence des héritiers concernés ne constitue pas un juste motif et ne peut dès lors pas être corrigée par la restitution du délai (Piotet, op. cit., p. 523 ; Tuor/Picenoni, Berner Kommentar, 2e éd. 1964, n.</w:t>
      </w:r>
    </w:p>
    <w:p>
      <w:r>
        <w:rPr>
          <w:b/>
        </w:rPr>
        <w:t>E. 3.3</w:t>
      </w:r>
    </w:p>
    <w:p>
      <w:r>
        <w:t>Le recourant conteste devoir figurer sur le certificat d’héritier, puisqu’il demande à ne pas y être. Il ne conteste toutefois pas avoir accepté en janvier 2020 la succession de sa grand-mère. Sur le fond de la décision entreprise, le recourant ne fait valoir aucun motif de violation du droit ou de constatation arbitraire des faits, qui justifierait l’admission du recours. A comprendre le recours comme une demande de restitution de délai pour répudier la succession, force est toutefois de constater qu’aucun juste motif n’est avancé, la négligence de l’héritier au moment de l’acceptation de la succession ne pouvant constituer un tel juste motif. Il est par ailleurs douteux que l’héritier ait agi avec la célérité commandée par les circonstances, puisqu’il a attendu de recevoir la liste des frais de la justice de paix et autres factures pour prétendre avoir fait une erreur, alors qu’il aurait dû préalablement se renseigner pour savoir quelle était la situation patrimoniale de la défunte. Il lui appartenait aussi de se renseigner sur l’étendue des coûts y relatifs, ce préalablement à l’acceptation, le recourant ne faisant pas valoir qu’il en aurait été empêché. Sur la base ce qui précède, un renvoi au premier juge s’avère inutile.</w:t>
      </w:r>
    </w:p>
    <w:p>
      <w:r>
        <w:t>- 7 -</w:t>
      </w:r>
    </w:p>
    <w:p>
      <w:r>
        <w:rPr>
          <w:b/>
        </w:rPr>
        <w:t>E. 4</w:t>
      </w:r>
    </w:p>
    <w:p>
      <w:r>
        <w:t>En conclusion, le recours doit être rejeté selon l’art. 322 al. 1 in fine CPC et la décision entreprise confirmée. Les frais judiciaires de deuxième instance, arrêtés à 100 fr. (art. 74 TFJC [tarif des frais judiciaires civils du 28 septembre 2010 ; BLV 270.11.5]), seront mis à la charge du recourant, qui succombe (art. 106 al. 1 CPC). Par ces motifs, la Chambre des recours civile du Tribunal cantonal, en application de l'art. 322 al. 1 CPC, prononce : I. Le recours est rejeté dans la mesure de sa recevabilité. II. La décision est confirmée. III. Les frais judiciaires de deuxième instance, arrêtés à 100 fr. (cent francs), sont mis à la charge du recourant A.Q.________.</w:t>
      </w:r>
    </w:p>
    <w:p>
      <w:r>
        <w:t>- 8 - IV. L’arrêt est exécutoire. Le président : La greffière : Du L'arrêt qui précède, dont la rédaction a été approuvée à huis clos, est notifié à : - A.Q.________ personnellement, - [...] (pour son pupille B.Q.________).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