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SU18.055567 vom 28. April 2023</w:t>
      </w:r>
    </w:p>
    <w:p>
      <w:r>
        <w:t>VD Tribunal cantonal, 2023-04-28, FR</w:t>
      </w:r>
    </w:p>
    <w:p>
      <w:r>
        <w:rPr>
          <w:b/>
        </w:rPr>
        <w:t xml:space="preserve">Quelle: </w:t>
      </w:r>
      <w:r>
        <w:t>https://mcp.opencaselaw.ch/entscheid/vd_gerichte_SU18.055567</w:t>
      </w:r>
    </w:p>
    <w:p>
      <w:r>
        <w:t>FR: VD_GERICHTE SU18.055567 du 28 avril 2023</w:t>
      </w:r>
    </w:p>
    <w:p>
      <w:r>
        <w:t>IT: VD_GERICHTE SU18.055567 del 28 aprile 2023</w:t>
      </w:r>
    </w:p>
    <w:p>
      <w:pPr>
        <w:pStyle w:val="Heading2"/>
      </w:pPr>
      <w:r>
        <w:t>Erwägungen</w:t>
      </w:r>
    </w:p>
    <w:p>
      <w:r>
        <w:rPr>
          <w:b/>
        </w:rPr>
        <w:t>E. 1</w:t>
      </w:r>
    </w:p>
    <w:p>
      <w:r>
        <w:t>Q.________, née le [...] 1924, est décédée le [...] 2018.</w:t>
      </w:r>
    </w:p>
    <w:p>
      <w:r>
        <w:rPr>
          <w:b/>
        </w:rPr>
        <w:t>E. 1.1</w:t>
      </w:r>
    </w:p>
    <w:p>
      <w:r>
        <w:t>L’art. 319 let. b CPC (Code de procédure civile du 19 décembre 2008 ; RS 272) ouvre la voie du recours contre les décisions de première instance dans les cas prévus dans la loi, soit en l’espèce le recours sur les frais de l’art. 110 CPC. S’agissant d’une affaire gracieuse de droit fédéral, la décision litigieuse ayant été rendue dans le cadre d’une dévolution successorale, elle est soumise à la procédure sommaire (art. 136 CDPJ [Code de droit privé judiciaire vaudois du 12 janvier 2010 ; RSV 211.02] et 248 let. e CPC), de sorte que seul le recours limité au droit est recevable (art. 109 al.</w:t>
      </w:r>
    </w:p>
    <w:p>
      <w:r>
        <w:rPr>
          <w:b/>
        </w:rPr>
        <w:t>E. 1.2</w:t>
      </w:r>
    </w:p>
    <w:p>
      <w:r>
        <w:t>En l’espèce, le recours a été interjeté en temps utile par une partie qui a un intérêt digne de protection, de sorte qu’il est recevable à cet égard. Il convient toutefois d’examiner si les autres conditions de recevabilité sont réalisées en l’espèce. 2.</w:t>
      </w:r>
    </w:p>
    <w:p>
      <w:r>
        <w:rPr>
          <w:b/>
        </w:rPr>
        <w:t>E. 2</w:t>
      </w:r>
    </w:p>
    <w:p>
      <w:r>
        <w:t>Le 30 mars 2023, la juge de paix a établi le certificat d’héritier, lequel mentionne comme héritiers légaux la recourante, T.________, V.________ – décédé le 4 novembre 2021 –,W.________, K.________, R.________ et B.________.</w:t>
      </w:r>
    </w:p>
    <w:p>
      <w:r>
        <w:rPr>
          <w:b/>
        </w:rPr>
        <w:t>E. 2.1.1</w:t>
      </w:r>
    </w:p>
    <w:p>
      <w:r>
        <w:t>Aux termes de l’art. 321 al. 1 in initio CPC, le recours doit être écrit et motivé. La motivation doit, à tout le moins, satisfaire aux exigences qui sont posées pour un mémoire d’appel (ATF 147 III 176 consid. 4.2.1). Il incombe ainsi au recourant de s’en prendre à la motivation de la décision attaquée pour tendre à en démontrer le</w:t>
      </w:r>
    </w:p>
    <w:p>
      <w:r>
        <w:t>- 4 - caractère erroné (ATF 141 III 569 consid. 2.3.3 ; ATF 138 III 374 consid. 4.3.1). Pour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(ATF 141 III 569 précité ; TF 5D_43/2019 du 24 mai 2019 consid. 3.2.2.1). En l’absence de motivation suffisante, le recours doit être déclaré irrecevable (TF 4A_101/2014 du 26 juin 2014 consid. 3.3). En outre, le recours doit contenir, sous peine d’irrecevabilité, des conclusions, en annulation ou au fond, soit ce que la partie veut que le tribunal lui alloue dans sa décision (CREC 9 novembre 2022/257).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sont réunies (CREC 4 juillet 2022/163 ; Jeandin, Commentaire romand, Code de procédure civile, 2e éd., Bâle 2019, n. 5 ad art. 321 CPC). Dès lors, les conclusions doivent être rédigées d’une manière suffisamment précise pour pouvoir être reprises telles quelles dans le dispositif de la décision à rendre (ATF 137 III 617 consid. 4.3 et 4.4 et les réf. citées, JdT 2014 II 187 ; cf. aussi TF 5A_65/2022 du 16 janvier 2023 consid. 3.3.1 ; TF 4A_274/2020 du 1er septembre 2020 consid. 4 ; CREC 1er février 2023).</w:t>
      </w:r>
    </w:p>
    <w:p>
      <w:r>
        <w:rPr>
          <w:b/>
        </w:rPr>
        <w:t>E. 2.1.2</w:t>
      </w:r>
    </w:p>
    <w:p>
      <w:r>
        <w:t>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précité consid. 6.4 ; TF 5A_368/2018 du 25 avril 2019 consid. 4.3.4 et les réf. citées ; Jeandin, op. cit., n. 4 ad art. 321 CPC et n. 5 ad art. 311 CPC par analogie). L’art. 132 CPC ne permet pas non plus de compléter ou d’améliorer une motivation insuffisante, ce même si le mémoire émane d’une personne</w:t>
      </w:r>
    </w:p>
    <w:p>
      <w:r>
        <w:t>- 5 - sans formation juridique (TF 5A_730/2021 du 9 février 2022 consid. 3.3.2 ; TF 5A_23/2019 du 3 juillet 2019 consid. 3.2.2 ; TF 5A_488/2015 du 21 août 2015 consid. 3.2.2 ; TF 4A_659/2011 du 7 décembre 2011 consid. 5, SJ 2012 I 231, in Revue suisse de procédure civile [RSPC] 2012 p. 128).</w:t>
      </w:r>
    </w:p>
    <w:p>
      <w:r>
        <w:rPr>
          <w:b/>
        </w:rPr>
        <w:t>E. 2.2.1</w:t>
      </w:r>
    </w:p>
    <w:p>
      <w:r>
        <w:t>Dans son courrier du 23 avril 2023, la recourante indique uniquement recourir contre la facture s’élevant à 6’285 fr. 50, en soutenant ignorer pour quelle raison elle devrait régler seule ledit montant, alors que d’autres héritiers sont également intéressés par la succession. Elle explique en outre qu’elle serait âgée de 83 ans et qu’elle bénéficierait d’une rente AVS, laquelle ne lui permettrait pas de payer le montant desdits frais.</w:t>
      </w:r>
    </w:p>
    <w:p>
      <w:r>
        <w:rPr>
          <w:b/>
        </w:rPr>
        <w:t>E. 2.2.2</w:t>
      </w:r>
    </w:p>
    <w:p>
      <w:r>
        <w:t>En l’espèce, force est de constater que la recourante ne conteste en rien la décision querellée et ne prend aucune conclusion en annulation ou en réforme de celle-ci, comme l’exige la jurisprudence précitée. Pour le surplus, il n’est pas possible d’accorder à la recourante un délai supplémentaire pour compléter sa motivation et ses conclusions, le vice étant irrémédiable. En définitive, à supposer que l’écriture de l’intéressée constitue un acte de recours, celui-ci ne satisfait pas aux exigences de motivation et de conclusions et doit par conséquent être déclaré irrecevable, en application de l’art. 322 al. 1 in fine CPC.</w:t>
      </w:r>
    </w:p>
    <w:p>
      <w:r>
        <w:rPr>
          <w:b/>
        </w:rPr>
        <w:t>E. 2.2.3</w:t>
      </w:r>
    </w:p>
    <w:p>
      <w:r>
        <w:t>Par surabondance, il sera relevé que, s’agissant des frais de traitement de la succession par la juge de paix, tels qu’ils résultent de la décision attaquée, ils constituent une dette de la défunte dont tous les héritiers sont solidairement responsables, comme cela a été mentionné dans le courrier du 18 avril 2023 adressé aux autres héritiers. Dans ces conditions, la juge de paix pouvait sans autre adresser la totalité du montant dû à l’un des héritiers, qui pourrait répondre pour le tout. La décision est dès lors exempte de tout reproche. Lors de la convention de partage, cas échéant du jugement de partage, la recourante, si elle s’est</w:t>
      </w:r>
    </w:p>
    <w:p>
      <w:r>
        <w:t>- 6 - acquittée seule du montant, pourra exercer le recours prévu par l’art. 148 al. 2 CO contre les autres héritiers. En outre, si la recourante rencontre des difficultés pour s’acquitter en une seule fois du montant dû de 6’285 fr. 50, il lui appartiendra de demander à l’autorité de recouvrement un aménagement de paiement.</w:t>
      </w:r>
    </w:p>
    <w:p>
      <w:r>
        <w:rPr>
          <w:b/>
        </w:rPr>
        <w:t>E. 3</w:t>
      </w:r>
    </w:p>
    <w:p>
      <w:r>
        <w:t>Au vu de ce qui précède, le recours doit être déclaré irrecevable selon la procédure de l’art. 322 al. 1 in fine CPC. Il n’est pas perçu de frais judiciaires de deuxième instance (art. 11 TFJC [tarif des frais judiciaires civils du 28 septembre 2010 ; BLV 270.11.5]). Par ces motifs, la Chambre des recours civile du Tribunal cantonal, en application de l’art. 322 al. 1 CPC, prononce : I. Le recours est irrecevable. II. L’arrêt, rendu sans frais, est exécutoire.</w:t>
      </w:r>
    </w:p>
    <w:p>
      <w:r>
        <w:t>- 7 - La présidente : La greffière : Du L’arrêt qui précède, dont la rédaction a été approuvée à huis clos, est notifié à : - Mme M.________, personnellement, - M. W.________, personnellement, - Mme K.________, personnellement, - Mme R.________, personnellement, - M. B.________, personnellement, - Mme T.________, personnellement.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- 8 -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