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SU18.054743 vom 27. März 2019</w:t>
      </w:r>
    </w:p>
    <w:p>
      <w:r>
        <w:t>VD Tribunal cantonal, 2019-03-27, FR</w:t>
      </w:r>
    </w:p>
    <w:p>
      <w:r>
        <w:rPr>
          <w:b/>
        </w:rPr>
        <w:t xml:space="preserve">Quelle: </w:t>
      </w:r>
      <w:r>
        <w:t>https://mcp.opencaselaw.ch/entscheid/vd_gerichte_SU18.054743</w:t>
      </w:r>
    </w:p>
    <w:p>
      <w:r>
        <w:t>FR: VD_GERICHTE SU18.054743 du 27 mars 2019</w:t>
      </w:r>
    </w:p>
    <w:p>
      <w:r>
        <w:t>IT: VD_GERICHTE SU18.054743 del 27 marzo 2019</w:t>
      </w:r>
    </w:p>
    <w:p>
      <w:pPr>
        <w:pStyle w:val="Heading2"/>
      </w:pPr>
      <w:r>
        <w:t>Erwägungen</w:t>
      </w:r>
    </w:p>
    <w:p>
      <w:r>
        <w:rPr>
          <w:b/>
        </w:rPr>
        <w:t>E. 1</w:t>
      </w:r>
    </w:p>
    <w:p>
      <w:r>
        <w:t>Par décision du 28 février 2019, la Juge de paix du district d’Aigle (ci-après : la juge de paix) a informé J.________ qu’elle avait procédé à la détermination des héritiers de la succession de A.T.________ et qu’elle figurait sur le certificat d’héritier. Le certificat d’héritier était joint en annexe.</w:t>
      </w:r>
    </w:p>
    <w:p>
      <w:r>
        <w:rPr>
          <w:b/>
        </w:rPr>
        <w:t>E. 2.1</w:t>
      </w:r>
    </w:p>
    <w:p>
      <w:r>
        <w:t>Par courrier reçu le 8 mars 2019 par la Justice de paix du district d’Aigle (ci-après : la justice de paix), J.________ a renvoyé l’exemplaire du certificat d’héritier qu’elle avait reçu, indiquant qu’elle voulait toujours s’appeler « [...] ». Par réponse du même jour, la juge de paix a informé J.________ que les données mentionnées sur le certificat d’héritier étaient reprises automatiquement du numéro AVS, ce qui représentait l’identité officielle de la personne que la justice de paix ne pouvait pas modifier. Elle a ajouté que J.________ était enregistrée sous le nom officiel « [...] », en précisant que l’intéressée l’avait sans doute conservé après le mariage si le droit français le permettait. Elle a encore invité J.________ à s’adresser à l’Etat civil pour obtenir des informations relatives à une éventuelle procédure de changement de nom.</w:t>
      </w:r>
    </w:p>
    <w:p>
      <w:r>
        <w:rPr>
          <w:b/>
        </w:rPr>
        <w:t>E. 2.2</w:t>
      </w:r>
    </w:p>
    <w:p>
      <w:r>
        <w:t>Par courrier reçu le 15 mars 2019 par la justice de paix, J.________ a indiqué qu’étant mariée depuis 62 ans, elle n’était pas d’accord de changer de nom, en précisant que toutes les femmes qu’elle connaissait avaient toujours le nom de leur mari.</w:t>
      </w:r>
    </w:p>
    <w:p>
      <w:r>
        <w:rPr>
          <w:b/>
        </w:rPr>
        <w:t>E. 2.3</w:t>
      </w:r>
    </w:p>
    <w:p>
      <w:r>
        <w:t>Tous les documents officiels du dossier indiquent que l’épouse de A.T.________ s’appelle J.________.</w:t>
      </w:r>
    </w:p>
    <w:p>
      <w:r>
        <w:t>- 3 -</w:t>
      </w:r>
    </w:p>
    <w:p>
      <w:r>
        <w:rPr>
          <w:b/>
        </w:rPr>
        <w:t>E. 3</w:t>
      </w:r>
    </w:p>
    <w:p>
      <w:r>
        <w:t>Le 20 mars 2019, la juge de paix a transmis à la Chambre de céans les deux courriers de J.________, estimant que ceux-ci pouvaient être considérés comme un recours.</w:t>
      </w:r>
    </w:p>
    <w:p>
      <w:r>
        <w:rPr>
          <w:b/>
        </w:rPr>
        <w:t>E. 4.1.1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1er septembre 2014/302 ; CREC 9 mai 2014/203 ; CREC 17 avril 2014/143). Le certificat d'héritier constitue une attestation de l'autorité constatant que les personnes mentionnées sur le document sont les seuls héritiers du de cujus et peuvent disposer de ses biens (Steinauer, Le droit des successions, 2e éd., 2015, n. 901, p. 482 et les réf. citées en note 90). Il indique les héritiers institués et, s'il y en a, les héritiers légaux qui sont en concours avec eux. L'attestation revêt toutefois un caractère provisoire puisqu'elle n'est délivrée que sous réserve de toutes actions, non seulement en nullité et en pétition d'hérédité comme le précise l'art. 559 al. 1 in fine CC (Code civil suisse du 10 décembre 1907 ; RS 210), mais aussi en réduction ou en constatation d'inexistence ou de nullité du testament.</w:t>
      </w:r>
    </w:p>
    <w:p>
      <w:r>
        <w:t>- 4 - Sa délivrance n'est précédée d'aucune analyse de la situation de droit matériel et il peut au besoin être corrigé en tout temps (Steinauer, op. cit., n. 902, pp. 482-483 et les réf. citées). La jurisprudence considère, à l'instar de la doctrine, que la procédure d'établissement du certificat d'héritier n'a pas pour objet de statuer matériellement sur la qualité d'héritier (ATF 128 III 318 consid. 2.2.2, JdT 2002 I 479 ; TF 5A_255/2010 du 13 septembre 2011 consid. 5). L'interprétation définitive des dispositions pour cause de mort – de même que la question qui y est liée de savoir si une personne possède ou non la qualité d'héritier – relève de la compétence du juge ordinaire et non de l'autorité chargée de délivrer le certificat d'héritier (TF 5A_495/2010 du 10 janvier 2011 consid. 2.3.2).</w:t>
      </w:r>
    </w:p>
    <w:p>
      <w:r>
        <w:rPr>
          <w:b/>
        </w:rPr>
        <w:t>E. 4.1.2</w:t>
      </w:r>
    </w:p>
    <w:p>
      <w:r>
        <w:t>Le recours, écrit et motivé, doit s'exercer dans les dix jours à compter de la notification de la décision motivée (art. 321 al. 1 et 2 CPC), auprès de la Chambre des recours civile (art. 73 al. 1 LOJV [loi vaudoise du 12 septembre 1979 d'organisation judiciaire ; BLV 173.01]). L'existence d'un intérêt du recourant est une condition de recevabilité de tout recours, cet intérêt devant être juridique et non de fait (art. 59 al. 2 let. a CPC ; ATF 127 III 429 consid. 1b ; ATF 120 II 7 consid. 2a ; ATF 118 II 108 consid. 2c ; JdT 2001 III 13).</w:t>
      </w:r>
    </w:p>
    <w:p>
      <w:r>
        <w:rPr>
          <w:b/>
        </w:rPr>
        <w:t>E. 4.2.1</w:t>
      </w:r>
    </w:p>
    <w:p>
      <w:r>
        <w:t>En l’espèce, J.________ (ci-après : la recourante) ne conteste pas être l’épouse du défunt ni ne remet en cause sa qualité d’héritière. Elle se limite à contester le fait que le certificat d’héritier mentionne que son nom de famille est « [...] » et soutient s’appeler « [...] », comme son défunt mari. Force est de constater que la recourante ne parvient pas à démontrer une éventuelle erreur, les documents officiels constituant le dossier de première instance mentionnant tous que son nom de famille est « [...] » et pas « [...]». La recourante ne fait qu’alléguer qu’elle s’appellerait « [...] », ce qui ne suffit pas à le démontrer. Il s’ensuit qu’à supposer qu’il faille considérer les courriers réceptionnés par la justice de paix les 8 et 15 mars 2019 comme un</w:t>
      </w:r>
    </w:p>
    <w:p>
      <w:r>
        <w:t>- 5 - recours, celui-ci doit être déclaré irrecevable, faute de motivation suffisante.</w:t>
      </w:r>
    </w:p>
    <w:p>
      <w:r>
        <w:rPr>
          <w:b/>
        </w:rPr>
        <w:t>E. 4.2.2</w:t>
      </w:r>
    </w:p>
    <w:p>
      <w:r>
        <w:t>La recourante J.________ est invitée à s’adresser à l’Etat civil pour s’enquérir des démarches à suivre pour un éventuel changement de nom, soit changer son nom officiel de « [...] » en celui de « [...]».</w:t>
      </w:r>
    </w:p>
    <w:p>
      <w:r>
        <w:rPr>
          <w:b/>
        </w:rPr>
        <w:t>E. 5</w:t>
      </w:r>
    </w:p>
    <w:p>
      <w:r>
        <w:t>Il ne sera pas perçu de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Mme J.________. Le présent arrêt peut faire l'objet d'un recours en matière civile devant le Tribunal fédéral au sens des art. 72 ss LTF (loi du 17 juin</w:t>
      </w:r>
    </w:p>
    <w:p>
      <w:r>
        <w:t>- 6 - 2005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 B.T.________.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