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SU17.036537 vom 3. April 2018</w:t>
      </w:r>
    </w:p>
    <w:p>
      <w:r>
        <w:t>VD Tribunal cantonal, 2018-04-03, FR</w:t>
      </w:r>
    </w:p>
    <w:p>
      <w:r>
        <w:rPr>
          <w:b/>
        </w:rPr>
        <w:t xml:space="preserve">Quelle: </w:t>
      </w:r>
      <w:r>
        <w:t>https://mcp.opencaselaw.ch/entscheid/vd_gerichte_SU17.036537</w:t>
      </w:r>
    </w:p>
    <w:p>
      <w:r>
        <w:t>FR: VD_GERICHTE SU17.036537 du 3 avril 2018</w:t>
      </w:r>
    </w:p>
    <w:p>
      <w:r>
        <w:t>IT: VD_GERICHTE SU17.036537 del 3 aprile 2018</w:t>
      </w:r>
    </w:p>
    <w:p>
      <w:pPr>
        <w:pStyle w:val="Heading2"/>
      </w:pPr>
      <w:r>
        <w:t>Erwägungen</w:t>
      </w:r>
    </w:p>
    <w:p>
      <w:r>
        <w:rPr>
          <w:b/>
        </w:rPr>
        <w:t>E. 1</w:t>
      </w:r>
    </w:p>
    <w:p>
      <w:r>
        <w:t>Le 31 juillet 2015, la Justice de paix a nommé C.________, assistante sociale à l'OCTP, à Lausanne, en qualité de curatrice à forme de</w:t>
      </w:r>
    </w:p>
    <w:p>
      <w:r>
        <w:t>- 5 - l’art. 394 al. 1 et 395 al. 1 CC de S.________. Ses tâches étaient précisées comme il suit : - représenter S.________ dans les rapports avec les tiers dans les domaines relatifs à son logement, à sa santé, à l'aide dans la vie courante, à ses affaires sociales, juridiques, administratives et financières, et sauvegarder au mieux ses intérêts (art. 394 al. 1 CC), - gérer avec diligence l'ensemble des revenus de S.________ et accomplir les actes juridiques liés à cette gestion (art. 395 al. 1 CC), - représenter, si nécessaire, S.________pour ses besoins ordinaires (art. 408 al. 2 ch. 3 CC). Il ressort du cahier des charges de C.________ que des connaissances en comptabilité et en gestion étaient exigées.</w:t>
      </w:r>
    </w:p>
    <w:p>
      <w:r>
        <w:rPr>
          <w:b/>
        </w:rPr>
        <w:t>E. 2</w:t>
      </w:r>
    </w:p>
    <w:p>
      <w:r>
        <w:t>S.________ est décédé le [...] 2017 sans avoir désigné d'exécuteur testamentaire.</w:t>
      </w:r>
    </w:p>
    <w:p>
      <w:r>
        <w:rPr>
          <w:b/>
        </w:rPr>
        <w:t>E. 2.1</w:t>
      </w:r>
    </w:p>
    <w:p>
      <w:r>
        <w:t>Suite à l’arrêt de renvoi du Tribunal fédéral, le recourant soutient qu’au vu de la teneur de ses déterminations du 20 novembre 2017, la juge de paix entendait manifestement supprimer les chiffres II à VI de son ordonnance du</w:t>
      </w:r>
    </w:p>
    <w:p>
      <w:r>
        <w:rPr>
          <w:b/>
        </w:rPr>
        <w:t>E. 2.2</w:t>
      </w:r>
    </w:p>
    <w:p>
      <w:r>
        <w:t>Aux termes de l’art. 554 al. 1 CC, l’autorité ordonne l’administration d’office de la succession notamment s’il est incertain qu’il y ait un héritier (al. 1 ch. 2 in fine). Si un exécuteur testamentaire est désigné, l’administration de l’hérédité lui est remise (art. 554 al. 2 CC). Enfin, l’al. 3 de cette même disposition prévoit qu’en cas de décès d’une personne placée sous curatelle englobant la gestion du patrimoine, le curateur administre la succession, à moins qu’il n’en soit ordonné</w:t>
      </w:r>
    </w:p>
    <w:p>
      <w:r>
        <w:t>- 7 - autrement. L'autorité compétente doit cependant vérifier si le curateur a les qualités nécessaires pour exécuter cette tâche. Elle dispose d'un large pouvoir d'appréciation pour choisir une autre personne ou renoncer à ordonner l'administration officielle qui serait plus large que celle prévue à l'art. 554 al. 2 CC (Meier/Reymond-Eniaeva, Commentaire romand CC II, 2016, n. 32 ad art. 554 CC). La personne désignée en qualité d’administrateur d’office de la succession n’est cependant pas tenue d’accepter cette fonction et peut la refuser sans devoir indiquer de motif (Schuler-Buche, L’exécuteur testamentaire, l’administrateur officiel et le liquidateur officiel : étude et comparaison, Thèse Lausanne 2003, p. 39 et les références citées). Ce principe souffre d’une exception, lorsque le droit cantonal impose une telle obligation d’accepter la nomination en qualité d’administrateur d’office (Schuler-Buche, op.cit., p. 39 ; Karrer/Vogt/Leu in Basler Kommentar, 5e édition, n. 23 ad art. 554 CC). Or, le droit cantonal vaudois, en particulier la LVPAE (Loi du 29 mai 2012 d'application du droit fédéral de la protection de l'adulte et de l'enfant ; RSV 211.255) ne prévoit pas l’obligation pour un fonctionnaire curateur professionnel d’accepter une nomination en tant qu’administrateur d’office (cf. en particulier l’art. 40 LVPAE). L’administrateur officiel, qui n’a pas l’obligation d’accepter cette fonction, peut du reste, par analogie avec le mandataire, démissionner en tout temps (Meier/Reymond-Eniaeva, Commentaire romand CC II, n. 38 ad art. 554 CC).</w:t>
      </w:r>
    </w:p>
    <w:p>
      <w:r>
        <w:rPr>
          <w:b/>
        </w:rPr>
        <w:t>E. 2.3</w:t>
      </w:r>
    </w:p>
    <w:p>
      <w:r>
        <w:t>Compte tenu de ce qui précède, à défaut de disposition cantonale prévoyant le contraire, C.________ n’a effectivement aucune obligation d’accepter la fonction d’administrateur officiel de la succession de feu S.________. Celle-ci ayant expressément manifesté son refus d’assumer cette tâche, notamment par le recours de l’OCTP du 17 novembre 2017, également signé de sa main, elle ne saurait lui être imposée. 3. Partant, le recours doit être admis.</w:t>
      </w:r>
    </w:p>
    <w:p>
      <w:r>
        <w:t>- 8 - Le présent arrêt sera rendu sans frais judiciaires de deuxième instance, ni dépens (cf. art.107 al. 2 CPC ; Tappy, CPC commenté, n. 34 ad art. 107 CPC). Par ces motifs, la Chambre des recours civile du Tribunal cantonal, prononce : I. Le recours est admis. II. L’ordonnance est annulée et la cause renvoyée à la Juge de paix du district de l’Ouest lausannois pour nouvelle décision dans le sens des considérants. III. L’arrêt, rendu sans frais, est exécutoire. Le président : La greffière : Du L'arrêt qui précède, dont la rédaction a été approuvée à huis clos, est notifié à : - Me Jérôme Bürgisser (pour l’Office des curatelles et tutelles professionnelles [OCTP], représentant C.________).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r>
        <w:rPr>
          <w:b/>
        </w:rPr>
        <w:t>E. 3</w:t>
      </w:r>
    </w:p>
    <w:p>
      <w:r>
        <w:t>Le compte final de la curatelle, arrêté au jour du décès de l’intéressé, a été approuvé par la juge de paix le 16 octobre 2017. Il en ressort que le patrimoine net du défunt s’élevait à 28'353 fr. 72.</w:t>
      </w:r>
    </w:p>
    <w:p>
      <w:r>
        <w:rPr>
          <w:b/>
        </w:rPr>
        <w:t>E. 4</w:t>
      </w:r>
    </w:p>
    <w:p>
      <w:r>
        <w:t>Le dossier fait état de quelques factures postérieures au décès de S.________, en particulier pour les frais médicaux et l’enterrement de celui-ci.</w:t>
      </w:r>
    </w:p>
    <w:p>
      <w:r>
        <w:rPr>
          <w:b/>
        </w:rPr>
        <w:t>E. 5</w:t>
      </w:r>
    </w:p>
    <w:p>
      <w:r>
        <w:t>Le cercle des héritiers légaux de feu S.________ n'a pas encore pu être déterminé. En d roit :</w:t>
      </w:r>
    </w:p>
    <w:p>
      <w:r>
        <w:t>- 6 - 1.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2.</w:t>
      </w:r>
    </w:p>
    <w:p>
      <w:r>
        <w:rPr>
          <w:b/>
        </w:rPr>
        <w:t>E. 8</w:t>
      </w:r>
    </w:p>
    <w:p>
      <w:r>
        <w:t>novembre 2017, de sorte que, pour ce motif déjà, le recours devrait être admis. Le recourant estime de plus que la fonction d'administrateur officiel de la succession ne pourrait pas être imposée à C.________ contre son gré, le droit cantonal ne prévoyant aucune obligation d’accepter une telle mission. Enfin, il estime qu’elle ne disposerait pas des qualités nécessaires pour exercer la fonction qui lui est imposée.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