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SU16.027058 vom 30. Januar 2018</w:t>
      </w:r>
    </w:p>
    <w:p>
      <w:r>
        <w:t>VD Tribunal cantonal, 2018-01-30, FR</w:t>
      </w:r>
    </w:p>
    <w:p>
      <w:r>
        <w:rPr>
          <w:b/>
        </w:rPr>
        <w:t xml:space="preserve">Quelle: </w:t>
      </w:r>
      <w:r>
        <w:t>https://mcp.opencaselaw.ch/entscheid/vd_gerichte_SU16.027058</w:t>
      </w:r>
    </w:p>
    <w:p>
      <w:r>
        <w:t>FR: VD_GERICHTE SU16.027058 du 30 janvier 2018</w:t>
      </w:r>
    </w:p>
    <w:p>
      <w:r>
        <w:t>IT: VD_GERICHTE SU16.027058 del 30 gennaio 2018</w:t>
      </w:r>
    </w:p>
    <w:p>
      <w:pPr>
        <w:pStyle w:val="Heading2"/>
      </w:pPr>
      <w:r>
        <w:t>Erwägungen</w:t>
      </w:r>
    </w:p>
    <w:p>
      <w:r>
        <w:rPr>
          <w:b/>
        </w:rPr>
        <w:t>E. 8</w:t>
      </w:r>
    </w:p>
    <w:p>
      <w:r>
        <w:t>a) Par une nouvelle requête introduite le 6 juin 2016, corrigée en juillet 2016, B.J.________ a à nouveau sollicité la destitution de G.J.________ et H.J.________ de leur mission d’exécuteurs testamentaires de la succession de Z.J.________. Il leur reproche notamment diverses</w:t>
      </w:r>
    </w:p>
    <w:p>
      <w:r>
        <w:t>- 11 - violations graves et réitérées des devoirs rattachés à leur mission, soit la violation du devoir de diligence et de fidélité, la violation des devoirs de préserver les actifs de la succession et de procéder à un inventaire d’entrée et la violation du devoir d’information et de reddition de comptes. A l’appui de sa requête, l’intéressé a produit un volumineux bordereau de pièces réunies sous onglet, dont notamment : - un extrait de l’audition de [...] devant la Chambre patrimoniale cantonale, lors de laquelle celui-ci a en substance déclaré que le défunt Z.J.________ avait hérité de la [...] des meubles et des tableaux de la maison sise à [...], à [...], qu’il s’agissait d’une très belle collection de tableaux et qu’il se souvenait en particulier d’un petit tableau représentant [...] en prison, de plusieurs [...], de primitifs [...] et de peintures [...] du XVIe siècle (pièce 9) ; - une lettre datée du 15 novembre 2012, par laquelle [...] a mentionné qu’il avait la charge d’administrateur de [...], que la maison sise à [...] était garnie d’œuvres d’art de grande valeur héritées de la part du père de cette dernière et qu’il avait été considéré que Z.J.________, neveu de [...], avait hérité de cette collection, qui contenait en substance des tapisseries des XVIe ou XVIIe siècles, un portrait de [...] peint par [...], un tableau du peintre [...] d’une très grande rareté et un tableau du peintre [...] (pièce 14bis) ; - un acte notarié [...] daté du 20 décembre 2012, intitulé « Transfert d’actions », signé par le conseil de G.J.________ et H.J.________, qui indique notamment qu’ [...] n’avait pas fait de testament en [...] et que la dévolution successorale y relative se déroulait « ab intestato », que Z.J.________ héritait pour moitié de la succession de son frère et que les héritiers du prénommé avaient accepté sa succession (pièce 46b). b) Par déterminations du 20 septembre 2016, G.J.________ et H.J.________ ont conclu, avec suite de frais et dépens, principalement à l’irrecevabilité de la requête en révocation des exécuteurs testamentaires déposée le 6 juin 2016 par B.J.________ et subsidiairement au rejet des conclusions de la requête précitée.</w:t>
      </w:r>
    </w:p>
    <w:p>
      <w:r>
        <w:t>- 12 - A l’appui de leurs écritures, G.J.________ et H.J.________ ont contesté les reproches formulés par le requérant et ont produit un lot de pièces, dont notamment le procès-verbal, certifié conforme et apostillé, de la Chambre patrimoniale cantonale dans le cadre d’une action en pétition d’hérédité déposée par les exécuteurs testamentaires, contenant une attestation, datée du 20 août 2012, ainsi que deux déclarations d’acquiescement, datées du 18 respectivement du 20 septembre 2012, indiquant que la succession d’ [...], soit la succession de Z.J.________ d’une part et [...] et [...] d’autre part, devait restituer immédiatement à la succession du prénommé l’intégralité du capital-actions de la société M.________ (pièce 315). c) Par requête du 6 décembre 2016, B.J.________ a sollicité que les exécuteurs testamentaires soient sommés, sous la menace des peines d’amende de l’art. 292 CP (Code pénal du 21 décembre 1937 ; RS 311.0) en cas d’insoumission à une décision de l’autorité, de produire dans un délai de dix jours dès sommation les comptes détaillés de la succession pour les années 2011 à 2015. d) Par déterminations du 7 décembre 2016, I.J.________ a conclu, sous suite de frais et dépens, principalement à l’irrecevabilité de la requête en révocation des exécuteurs testamentaires déposée le 6 juin 2016 par B.J.________ et subsidiairement au rejet des conclusions prises par ce dernier au pied de la requête précitée. Dans ses écritures, la prénommée a notamment rappelé le contexte familial ayant conduit son époux à rédiger ses dispositions à cause de mort et a déclaré adhérer à l’ensemble des allégations faites par les exécuteurs testamentaires. Entre autres, elle a exposé avoir, en 2014, fait une déclaration spontanée auprès de l’Administration cantonale des impôts concernant tous les biens meubles dont elle était propriétaire, ce qui a donné lieu à un redressement de sa situation fiscale avec des rappels d’impôts totalisant 168'000 francs.</w:t>
      </w:r>
    </w:p>
    <w:p>
      <w:r>
        <w:t>- 13 - I.J.________ a en outre produit un lot de pièces réunies sous onglet. Elle a notamment produit une déclaration commune, datée du 31 octobre 1986, signée par elle-même et son époux, contenant une liste exhaustive manuscrite des biens lui appartenant se trouvant dans les maisons dénommées « Enfants » et « Maître », sises en [...] (pièce 517). e) Par procédé écrit du 16 janvier 2017, W.________ et F.J.________ ont conclu, avec suite de frais et dépens, à la suspension de la procédure en révocation des exécuteurs testamentaires jusqu’à la notification par le Juge de paix de sa décision concernant la procédure de bénéfice d’inventaire de la succession de feu Z.J.________ et la qualité d’héritier ou d’héritier provisoire de B.J.________ et au rejet de la requête formée par ce dernier en révocation des exécuteurs testamentaires, dans la mesure où elle était recevable. W.________ et F.J.________ ont adhéré à l’ensemble des allégations des exécuteurs testamentaires et de I.J.________. f) Le 28 février 2017, le magistrat a informé B.J.________ et les intimés G.J.________ et H.J.________ qu’il refusait de faire droit à leurs réquisitions de production de pièces. Il a en revanche fixé aux exécuteurs testamentaires un délai au 13 avril 2017 pour produire la comptabilité de la succession pour les années 2011 à 2015. g) Le 21 avril 2017, B.J.________ a déposé un procédé écrit, ainsi qu’un bordereau de pièces. Il a notamment produit la copie d’un document daté du 22 septembre 2011, rédigée en [...], contenant une liste des actifs et des passifs d’une société dénommée « [...] » (pièce 72). h) Par courrier du 24 avril 2017, G.J.________ et H.J.________ ont produit un document faisant état de la situation financière de la succession pour les années 2011 à 2015.</w:t>
      </w:r>
    </w:p>
    <w:p>
      <w:r>
        <w:t>- 14 - i) Le 28 avril 2017, le Juge de paix a tenu audience au cours de laquelle les parties ont été entendues dans leurs explications, consignées dans un procès-verbal faisant partie intégrante de la décision attaquée. A cette occasion, le conseil des exécuteurs testamentaires a notamment déclaré, s’agissant de la société M.________, qu’il y avait eu une erreur dans l’identité de la société et qu’elle avait été corrigée, de même que dans la valorisation de cette dernière dans les comptes établis par [...]. En cours d’audience, il a produit une expertise établie par [...] relative à la valeur de ladite société. En d roit : 1. 1.1 La procédure applicable à l'exécution testamentaire est réglée par le droit cantonal (art. 54 al. 1 et 3 Titre final CC ; Künzle, Das Erbrecht, Berner Kommentar, 2011, n. 554 ad art. 517-518 CC ; Christ/Eichner, in Abt/Weibel, Erbrecht, Praxiskommentar, 2011, n. 88 ad art. 518 CC ; JdT 1990 III 31) et relève de la juridiction gracieuse (Künzle, loc. cit.). Le droit vaudois prévoit que l'exécuteur testamentaire est surveillé, cas échéant révoqué, par le Juge de paix (art. 5 ch. 3 et 125 al. 2 CDPJ [Code de droit privé judiciaire vaudois du 12 janvier 2010 ; RSV 211.02]). Les art. 104 à 109 CDPJ sont également applicables, compte tenu du renvoi de l'art. 111 al. 1 CDPJ. Aux termes de l'art. 109 al. 3 CDPJ, lorsque la procédure sommaire est applicable, seul le recours limité au droit est recevable contre le jugement de fond, le recours-joint étant admis. Le CDPJ ne prévoit pas expressément l'application de la procédure sommaire en matière d'exécution testamentaire. Il faut cependant admettre que telle a été la volonté du législateur cantonal, si l'on se réfère à l'exposé des motifs relatif au CDPJ qui indique, s'agissant de l'art. 109 CDPJ, que « cette disposition ne doit être applicable que si et dans la mesure où une autre disposition législative y renvoie</w:t>
      </w:r>
    </w:p>
    <w:p>
      <w:r>
        <w:t>- 15 - expressément. Reprenant le régime actuellement applicable à de telles affaires, le projet lui-même prévoit une procédure sommaire de ce type pour toutes les affaires gracieuses relevant de la loi cantonale de procédure (art. 108 à 162) [...] » (Exposé des motifs relatif à la réforme de la juridiction civile – Codex 2010 volet « procédure civile », EMPL CDPJ, mai 2009, n. 198, pp. 76 ss ; cf. également CREC 28 février 2013/62 consid. 1a). L'application de la procédure sommaire implique que la voie de droit ouverte est celle de l'art. 109 al. 3 CDPJ, auquel les art. 319 ss CPC (Code de procédure civile du 19 décembre 2008 ; RS 272) s'appliquent à titre supplétif (art. 104 al. 1 CDPJ). La révocation du mandat d'exécuteur testamentaire étant régie par la procédure sommaire, le recours, écrit et motivé, est introduit dans les dix jours à compter de la notification de la décision motivée auprès de l'instance de recours (art. 321 al. 1 et 2 CPC), soit, en l'occurrence, la Chambre des recours civile du Tribunal cantonal (art. 109 al. 3 CDPJ et art. 73 al. 1 LOJV [Loi d'organisation judiciaire du 12 décembre 1979 ; RSV 173.01]). 1.2 En l’espèce, le recours a été interjeté en temps utile par des héritiers qui y ont un intérêt (art. 59 al. 2 let. a CPC), de sorte qu’il est recevable. 2. Le recours est recevable pour violation du droit (art. 320 let. a CPC) et constatation manifestement inexacte des faits (art. 320 let. b CPC). L'autorité de recours dispose d'un plein pouvoir d'examen s'agissant de la violation du droit (Spühler, in Basler Kommentar, 2e éd. 2013, n. 26 ad art. 319 CPC, p. 1811).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w:t>
      </w:r>
    </w:p>
    <w:p>
      <w:r>
        <w:t>- 16 - des preuves (Corboz et al., Commentaire de la LTF, 2e éd., 2014, n. 27 ad art. 97 LTF, p. 1117). 3. 3.1 Les recourants exposent qu’ils ont été invités à participer à la procédure de révocation des exécuteurs testamentaires, à prendre position au cours de celle-ci et à y défendre leurs intérêts. Ils soutiennent que la requête de B.J.________ a été rejetée et que les instructions données aux exécuteurs testamentaires par l’autorité de surveillance ne relèveraient pas de cette procédure et auraient pu être ordonnées indépendamment de celle-ci. Par ailleurs, les recourants font valoir que leurs conclusions auraient été entièrement admises et que la motivation du premier juge concernant les dépens serait insuffisante. 3.2 3.2.1 Les frais – qui comprennent les frais judiciaires et les dépens (art. 95 al. 1 CPC) – sont en principe mis à la charge de la partie qui succombe (art. 106 al. 1 CPC). Le tribunal est toutefois libre de s'écarter de ces règles et de les répartir selon sa libre appréciation, en statuant selon les règles du droit et de l'équité (art. 4 CC), dans les hypothèses prévues par l'art. 107 CPC, notamment lorsque des circonstances particulières rendent la répartition en fonction du sort de la cause inéquitable (art. 107 al. 1 let. f CPC ; TF 5D_69/2017 du 14 juillet 2017 consid. 3.3.1 ; ATF 139 III 33 consid. 4.2 et les références citées ; TF 5A_737/2016 du 27 mars 2017 consid. 2.3 ; TF 4A_655/2016 du 15 mars 2017 consid. 7). Cette dernière hypothèse vise notamment les cas où il existe une disparité économique importante des parties, ainsi que ceux où la partie qui obtient gain de cause a donné lieu à l'introduction de l'action ou a occasionné des frais de procédure complémentaire injustifiés (exemple : gain de cause par une exception de compensation, si le tribunal doit examiner de nombreuses prétentions en compensation infondées avant de pouvoir rejeter l'action) (TF 5D_69/2017 du 14 juillet 2017 consid. 3.3.1 ; ATF 139 III 33 consid. 4.2 et les références citées). L'art. 107 al. 1 let. f CPC peut aussi trouver application lorsqu'il s'avère</w:t>
      </w:r>
    </w:p>
    <w:p>
      <w:r>
        <w:t>- 17 - que la partie recourante a fait un usage dilatoire et abusif de la procédure (TF 5D_69/2017 du 14 juillet 2017 consid. 3.3.1 ; ATF 143 III 46 consid. 3 et la référence citée). Cette disposition doit cependant être appliquée restrictivement (TF 5D_69/2017 du 14 juillet 2017 consid. 3.3.1 et les arrêts cités). Il résulte de son texte clair que l'art. 107 CPC est de nature potestative. Le tribunal dispose d'un large pouvoir d'appréciation non seulement quant à la manière dont les frais seront répartis, mais également quant aux dérogations à la règle générale de l'art. 106 CPC (TF 5D_69/2017 du 14 juillet 2017 consid. 3.3.1 ; ATF 139 III 358 consid. 3 et les arrêts cités). Quand bien même il résulte de son texte qu'il ne s'agit pas d'une disposition potestative, la doctrine est toutefois d'avis que le tribunal dispose aussi d'un certain pouvoir d'appréciation dans l'application de l'art. 108 CPC (TF 5D_69/2017 du 14 juillet 2017 consid. 3.3.1 et les arrêts cités). 3.2.2 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consid. 3d/aa). La jurisprudence a déduit du droit d'être entendu le devoir de l'autorité de motiver sa décision afin que le destinataire puisse la comprendre et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consid. 3.1, JdT 2011 IV 3 ; ATF 130 II 530 consid. 4.3). L'autorité n'a pas l'obligation d'exposer et de discuter tous les faits, moyens de preuve et griefs invoqués par les parties, mais elle peut au contraire se limiter à ceux qui, sans arbitraire, lui paraissent pertinents (ATF 133 I 270 consid. 3.1 ; ATF 126 I 97 consid. 2b).</w:t>
      </w:r>
    </w:p>
    <w:p>
      <w:r>
        <w:t>- 18 - 3.3 En l’occurrence, les manquements imputables aux exécuteurs testamentaires dans le cadre des opérations de dévolution successorale et de la procédure de bénéfice d’inventaire relevés par le premier juge ont été vérifiés. Les intéressés ont notamment tardé à transmettre les renseignements nécessaires à l’établissement de l’inventaire, certaines dispositions à cause de mort du défunt et la comptabilité de la succession, et ce en dépit de multiples relances, parfois restées sans réponse, de la Justice de paix. En outre, ils ont commis une erreur grossière en ne mentionnant pas la bonne société M.________ dans leur inventaire du 26 juin 2012. A l’évidence, les exécuteurs testamentaires ont dès lors manqué de rigueur dans l’exercice de leur mandat, ce qui a donné lieu à la saisine par l’intimé B.J.________ de l’autorité de surveillance et conduit celle-ci à leur donner des instructions précises et impératives, dont l’une assortie d’un délai d’exécution. Dans ces conditions, et quand bien même la conclusion du prénommé en destitution des exécuteurs testamentaires était exagérée, la plainte qu’il a formulée était fondée sur plusieurs aspects. Par ailleurs, quoi qu’en disent les recourants, les manquements constatés ont été mis en lumière à la suite de l’ouverture de la présente procédure, de sorte que l’autorité de surveillance n’aurait pas réalisé la nécessité de donner ces instructions indépendamment de celle-ci. Enfin, dans la mesure où W.________ et F.J.________ ont adhéré à l’ensemble des allégations des exécuteurs testamentaires, on ne saurait soutenir qu’ils ont pleinement obtenu gain de cause. En effet, durant la procédure, G.J.________ et H.J.________ ont contesté les reproches formulés par B.J.________, alors que certains d’entre eux ont finalement été retenus par le premier juge, quand bien même ils ne justifiaient pas leur destitution. Au regard de ce qui précède, l’application de l’art. 107 al. 1 let. f CPC par le premier juge ne prête pas le flanc à la critique. Partant, la compensation des dépens de première instance opérée par ce dernier doit être confirmée.</w:t>
      </w:r>
    </w:p>
    <w:p>
      <w:r>
        <w:t>- 19 - Quant au droit d’être entendu, on relèvera que la question des dépens, bien que traitée de manière succincte, a été suffisamment motivée par le premier juge, dans la mesure où les considérants de ce dernier ont permis, d’une part, aux recourants de comprendre la décision à cet égard et de l’attaquer utilement et, d’autre part, à l’autorité de recours d’exercer son contrôle. 4. En définitive, le recours doit être rejeté et la décision attaquée confirmée en tant qu’elle concerne le chiffre V de son dispositif. Les frais judiciaires de deuxième instance, arrêtés à 1’000 fr. (art. 74 al. 1 TFJC [Tarif des frais judiciaires en matière civile du 28 septembre 2010 ; RSV 270.11.5]), seront mis à la charge des recourants, solidairement entre eux, qui succombent (art. 106 al. 1 CPC). Vu l’issue du litige et compte tenu de l’importance de la cause, de ses difficultés, de l’ampleur du travail et du temps consacré à la procédure (art. 3 TDC [Tarif des dépens en matière civile du 23 novembre 2010 ; RSV 270.11.6]), les recourants verseront, solidairement entre eux, la somme de 1'000 fr. à l’intimé B.J.________, à titre de dépens de deuxième instance. Pour le reste, il ne se justifie pas de condamner les autres intimés à des dépens de deuxième instance, G.J.________ et H.J.________ étant déjà condamnés à en verser pour avoir succombé dans leur recours portant notamment sur cette question et I.J.________ n’ayant pas déposé d’écriture ayant suscité des frais d’avocat.</w:t>
      </w:r>
    </w:p>
    <w:p>
      <w:r>
        <w:t>- 20 - Par ces motifs, la Chambre des recours civile du Tribunal cantonal, prononce : I. Le recours est rejeté. II. Le chiffre V du dispositif de la décision est confirmé. III. Les frais judiciaires de deuxième instance, arrêtés à 1'000 fr. (mille francs), sont mis à la charge des recourants W.________ et F.J.________, solidairement entre eux. IV. Les recourants W.________ et F.J.________ doivent, solidairement entre eux, verser la somme de 1'000 fr. (mille francs) à l’intimé B.J.________, à titre de dépens de deuxième instance. V. L’arrêt est exécutoire. Le président : Le greffier : Du L'arrêt qui précède, dont la rédaction a été approuvée à huis clos, est notifié à : - Me Philippe Reymond, avocat (pour W.________ et F.J.________), - Me Nicolas Gillard, avocat (pour B.J.________), - Me François Roux, avocat (pour G.J.________ et H.J.________), - Me Antoine Eigenmann, avocat (pour I.J.________). Le présent arrêt peut faire l'objet d'un recours en matière civile devant le Tribunal fédéral au sens des art. 72 ss LTF, cas échéant</w:t>
      </w:r>
    </w:p>
    <w:p>
      <w:r>
        <w:t>- 21 -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