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SU15.042206 vom 3. August 2016</w:t>
      </w:r>
    </w:p>
    <w:p>
      <w:r>
        <w:t>VD Tribunal cantonal, 2016-08-03, FR</w:t>
      </w:r>
    </w:p>
    <w:p>
      <w:r>
        <w:rPr>
          <w:b/>
        </w:rPr>
        <w:t xml:space="preserve">Quelle: </w:t>
      </w:r>
      <w:r>
        <w:t>https://mcp.opencaselaw.ch/entscheid/vd_gerichte_SU15.042206</w:t>
      </w:r>
    </w:p>
    <w:p>
      <w:r>
        <w:t>FR: VD_GERICHTE SU15.042206 du 3 août 2016</w:t>
      </w:r>
    </w:p>
    <w:p>
      <w:r>
        <w:t>IT: VD_GERICHTE SU15.042206 del 3 agosto 2016</w:t>
      </w:r>
    </w:p>
    <w:p>
      <w:pPr>
        <w:pStyle w:val="Heading2"/>
      </w:pPr>
      <w:r>
        <w:t>Erwägungen</w:t>
      </w:r>
    </w:p>
    <w:p>
      <w:r>
        <w:rPr>
          <w:b/>
        </w:rPr>
        <w:t>E. 4</w:t>
      </w:r>
    </w:p>
    <w:p>
      <w:r>
        <w:t>Le 22 avril 2016, la Juge de paix a interpellé l’Office de l’Etat civil de l’arrondissement de l’Est vaudois sur la date de l’adoption. Le 10 mai 2016, celui-ci a retourné à la Juge de paix sa lettre précitée et en y apposant la mention manuscrite « Réponse : adopté le 24.11.1975 ». La réponse portait la signature de [...] ainsi que le sceau du Centre administratif de l'état civil, à Moudon. Cette administration a également transmis un certificat relatif à l'état civil de la famille de V.________ de sept pages qui comporte en bas de chaque page la mention « Vevey, 25.04.2016 [...] Officier d'état civil » et sa signature.</w:t>
      </w:r>
    </w:p>
    <w:p>
      <w:r>
        <w:t>- 4 -</w:t>
      </w:r>
    </w:p>
    <w:p>
      <w:r>
        <w:t>- 5 - En d roit : 1. 1.1 Les décisions relatives au certificat d'héritiers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d'héritiers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d'héritiers (art. 109 al. 3 CDPJ ; CREC 1er septembre 2014/302 ; CREC 9 mai 2014/203 ; CREC 17 avril 2014/143). Le recours, écrit et motivé, doit s'exercer dans les dix jours à compter de la notification de la décision motivée (art. 321 al. 1 et 2 CPC), auprès de la Chambre des recours civile (art. 73 al. 1 LOJV [loi vaudoise du 12 septembre 1979 d'organisation judiciaire ; RSV 173.01]). Le délai de recours est respecté lorsque l’acte de recours est remis au plus tard le dernier jour du délai à la poste suisse (art. 143 al. 1 CPC). A cet égard, la remise d’un acte à un bureau de poste étranger n’est pas assimilée à la remise à un bureau suisse (ATF 125 V 65 consid. 1). Pour que le délai soit sauvegardé, il faut que la poste suisse prenne possession du pli contenant le mémoire avant l’expiration du délai (TF 4A_258/2008 du 7 octobre 2008, consid. 2 ; Frésard, Commentaire de la LTF, 2e éd., 2014, n. 11 ad art. 48 LTF). Cela étant, le fardeau de la preuve de la notification d’un acte incombe à l’autorité qui entend en tirer une conséquence juridique et</w:t>
      </w:r>
    </w:p>
    <w:p>
      <w:r>
        <w:t>- 6 - celle-ci doit supporter les conséquences de l’absence de preuve (ATF 129 I</w:t>
      </w:r>
    </w:p>
    <w:p>
      <w:r>
        <w:rPr>
          <w:b/>
        </w:rPr>
        <w:t>E. 8</w:t>
      </w:r>
    </w:p>
    <w:p>
      <w:r>
        <w:t>consid. 2.2 ; Bohnet, CPC commenté, 2011, n. 35 ad art. 138 CPC). 1.2 En l’espèce, la date de la notification à l’adresse française du recourant de la décision datée du 12 mai 2016 est inconnue. Le recours est daté du 18 mai 2016, il porte le timbre postal français du 20 mai 2016 et est parvenu dans les mains de la poste suisse le 25 mai 2016. Toutefois, la date de la notification de la décision entreprise n’étant pas établie, il n’y pas lieu de faire supporter au recourant les conséquences de cette absence de preuve. Partant, nonobstant l’aspect incertain du respect du délai de recours, il convient de déclarer le recours recevable. 2. 2.1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op. cit., n. 27 ad art. 97 LTF). 2.2 En procédure de recours, les allégations de faits et les preuves nouvelles sont irrecevables (art. 326 al. 1 CPC). En l’espèce, le courrier du 3 mars 2016 et ses annexes, joints au mémoire de recours du 18 mai 2016, figurent déjà au dossier de première instance et sont donc recevables. Il n’en va pas de même des déterminations du 8 juillet 2016</w:t>
      </w:r>
    </w:p>
    <w:p>
      <w:r>
        <w:t>- 7 - ainsi que de la décision d’adoption produite à cette occasion, qui sont irrecevables. 3. 3.1 Le recourant soutient que la simple mention manuscrite selon laquelle il aurait été adopté le 24 novembre 1975 ne serait pas suffisante pour établir la date d’un évènement aussi important. Il expose avoir commencé l’école sous le nom d’A.X.________ en août 1974 déjà et explique n’avoir plus de contact avec son père adoptif depuis plus de vingt-cinq ans, celui-ci n’étant plus marié avec sa mère depuis une vingtaine d’années, alors qu’il aurait renoué des relations avec son père naturel depuis l’année 2005, ayant notamment vécu chez lui pendant trois mois. Enfin, il invoque sa méconnaissance, ainsi que celle de ses parents naturels, de la portée du nouveau droit au moment de son adoption. 3.2 Le droit de l’adoption a été modifié par la loi fédérale du 30 juin 1972, entrée en vigueur le 1er avril 1973. Sous l’ancien droit, l’art. 465 aCC prévoyait que l’adopté continuait à hériter de sa famille naturelle et réciproquement (Piotet, Droit successoral, Traité de droit privé suisse, Tome IV, 1975, p. 39). Le nouveau droit, quant à lui, prévoit à l’art. 267 al. 2 CC que les liens de filiation antérieurs sont rompus, sauf à l’égard du conjoint de l’adoptant. Ainsi, sous le nouveau droit, l’adopté n’hérite pas de ses parents de sang (Roussianos/Auberson, in Eigenmann/Rouiller, Commentaire du droit des successions, 2012, n. 17 ad art. 457 CC). Selon l’art. 12a al. 1 titre final CC, l’adoption prononcée avant l’entrée en vigueur des nouvelles dispositions de la loi fédérale du 30 juin 1972 modifiant le code civil demeure soumise à l’ancien droit. La Chambre de recours de céans a ainsi jugé que la mère naturelle d’une personne adoptée sous l’empire de l’ancien droit était son héritière légale (CREC 24 janvier 2014/30 consid. 2b, JdT 2014 III 52).</w:t>
      </w:r>
    </w:p>
    <w:p>
      <w:r>
        <w:t>- 8 - 3.3 En l’espèce, la réponse donnée par l’Office de l'état civil s’agissant de la date de l'adoption, composée d’une mention manuscrite de la date du 24 novembre 1975, de la signature de l’Officier d’état civil et du timbre de cet office, constitue une preuve par titre suffisante de ce fait. En effet, au vu des indications similaires et de la signature identique apposées sur d'autres documents d'état civil, il ne fait pas de doute que la date d'adoption a été communiquées par l'Officier d'état civil compétent. Il n'y a aucune raison de douter de la véracité de cette communication. Le recourant n’établit pas que son adoption aurait eu lieu antérieurement à l’entrée en vigueur du nouveau droit, et sa mention selon laquelle il aurait commencé l’école sous le nom d’A.X.________ en août 1974 ne lui est d’aucun secours, puisqu’à cette date, le nouveau droit était déjà en vigueur. Pour le surplus, la méconnaissance par le recourant ou sa mère de la portée de la réforme du droit de l’adoption en 1972 sur son statut d'héritier est dénuée de pertinence. D'une part, nul n'est censé ignorer la loi et, d'autre part, il s’avère impossible d’informer d'office chaque justiciable des conséquences que pourraient avoir dans son cas particulier l'adoption de nouvelles règles. Il s’ensuit que le recourant, adopté le 24 novembre 1975, est soumis au nouveau droit. De ce fait, ses liens de filiation antérieurs ont été rompus et il ne dispose pas de la qualité d’héritier de son père naturel V.________. Le raisonnement du premier juge doit être confirmé. 4. Il découle de ce qui précède que le recours doit être rejeté et la décision entreprise confirmée. Les frais judicaires de deuxième instance, arrêtés à 300 fr. (art. 74 al. 1 TFJC [tarif des frais judiciaires civils du 28 septembre 2010 ; RSV 270.11.5]), doivent être mis à la charge du recourant, qui succombe (art. 106 al. 1 CPC).</w:t>
      </w:r>
    </w:p>
    <w:p>
      <w:r>
        <w:t>- 9 - Par ces motifs, la Chambre des recours civile du Tribunal cantonal, prononce : I. Le recours est rejeté. II. La décision est confirmée. III. Les frais judiciaires de deuxième instance, arrêtés à 300 fr. (trois cents francs), sont mis à la charge du recourant A.X.________. IV. L’arrêt motivé est exécutoire. Le président : Le greffier : Du 4 août 2016 Le dispositif de l'arrêt qui précède est communiqué par écrit aux intéressés. Le greffier : Du L'arrêt qui précède, dont la rédaction a été approuvée à huis clos, est notifié en expédition complète, par l'envoi de photocopies, à : - A.X.________, - [...], - [...], - [...],</w:t>
      </w:r>
    </w:p>
    <w:p>
      <w:r>
        <w:t>- 10 - - [...].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