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ST25.041970 vom 23. Oktober 2025</w:t>
      </w:r>
    </w:p>
    <w:p>
      <w:r>
        <w:t>VD Tribunal cantonal, 2025-10-23, FR</w:t>
      </w:r>
    </w:p>
    <w:p>
      <w:r>
        <w:rPr>
          <w:b/>
        </w:rPr>
        <w:t xml:space="preserve">Quelle: </w:t>
      </w:r>
      <w:r>
        <w:t>https://mcp.opencaselaw.ch/entscheid/vd_gerichte_ST25.041970</w:t>
      </w:r>
    </w:p>
    <w:p>
      <w:r>
        <w:t>FR: VD_GERICHTE ST25.041970 du 23 octobre 2025</w:t>
      </w:r>
    </w:p>
    <w:p>
      <w:r>
        <w:t>IT: VD_GERICHTE ST25.041970 del 23 ottobre 2025</w:t>
      </w:r>
    </w:p>
    <w:p>
      <w:pPr>
        <w:pStyle w:val="Heading2"/>
      </w:pPr>
      <w:r>
        <w:t>Erwägungen</w:t>
      </w:r>
    </w:p>
    <w:p>
      <w:r>
        <w:rPr>
          <w:b/>
        </w:rPr>
        <w:t>E. 1.1</w:t>
      </w:r>
    </w:p>
    <w:p>
      <w:r>
        <w:t>R.________, né le [...] 1939, est décédé le [...] 2025. A.H.________ est l’un des héritiers institués de feu R.________.</w:t>
      </w:r>
    </w:p>
    <w:p>
      <w:r>
        <w:rPr>
          <w:b/>
        </w:rPr>
        <w:t>E. 1.2</w:t>
      </w:r>
    </w:p>
    <w:p>
      <w:r>
        <w:t>Par requête du 23 septembre 2025, l’Administration cantonale des impôts a conclu au blocage des biens dont feu R.________ était titulaire et/ou ayant droit économique auprès de [...], [...] et de la [...] et à ce que la délivrance du certificat d’héritier soit différée jusqu’à la notification de l’inventaire fiscal définitif. Par ordonnance du 25 septembre 2025, la Juge de paix du district de la Riviera – Pays-d’Enhaut (ci-après : la juge de paix) a ordonné le blocage de tous les avoirs entrant dans la succession d’R.________, à savoir tous les comptes ouverts dans les livres à son nom ou conjointement avec des tiers, des titres sous dossier et compartiment de coffre, auprès des institutions bancaires précitées (I), a ordonné le report de la délivrance du certificat d’héritier jusqu’à la levée du blocage ordonné sous chiffre I ci-dessus (II), a dit que la décision était immédiatement exécutoire, nonobstant recours (III) et a rendu la décision sans frais (IV).</w:t>
      </w:r>
    </w:p>
    <w:p>
      <w:r>
        <w:rPr>
          <w:b/>
        </w:rPr>
        <w:t>E. 2</w:t>
      </w:r>
    </w:p>
    <w:p>
      <w:r>
        <w:t>Par acte daté du 11 octobre 2025, remis à la poste [...] le 13 octobre 2025 et parvenu à la frontière suisse le 17 octobre 2025, A.H.________ (ci-après : le recourant) a recouru contre cette décision.</w:t>
      </w:r>
    </w:p>
    <w:p>
      <w:r>
        <w:rPr>
          <w:b/>
        </w:rPr>
        <w:t>E. 3.1</w:t>
      </w:r>
    </w:p>
    <w:p>
      <w:r>
        <w:t>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w:t>
      </w:r>
    </w:p>
    <w:p>
      <w:r>
        <w:t>- 3 - CDPJ s'appliquent par renvoi de l'art. 111 CDPJ. Le CPC (Code de procédure civile du 19 décembre 2008 ; RS 272) est applicable à titre supplétif (art. 104 et 108 CDPJ). La procédure sommaire s'applique à la juridiction gracieuse (art. 248 let. e CPC). Le recours, écrit et motivé, doit être introduit auprès de l'instance de recours, qui est, dans le Canton de Vaud, la Chambre des recours civile (art. 73 al. 1 LOJV [loi d'organisation judiciaire du 12 décembre 1979 ; BLV 173.01]), dans les dix jours à compter de la notification de la décision motivée ou de la notification postérieure de la motivation (art. 321 al. 1 et 2 CPC). L’acte est réputé notifié lorsqu’il a été remis au destinataire, à un de ses employés ou à une personne de seize ans au moins vivant dans le même ménage (art. 138 al. 2 CPC). 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A cet égard, la remise d’un acte à un bureau de poste étranger n’est pas assimilée à la remise à un bureau suisse. Pour que le délai soit sauvegardé, il faut que la Poste suisse prenne possession du pli contenant le mémoire avant l’expiration du délai (TF 4A_97/2019 du 11 mars 2019 ; TF 5A_427/2018 du 2 juillet 2018 consid. 4.1 ; TF 4A_399/2014 du 11 février 2015 consid. 2.2, RSPC 2015 p. 237 ; CREC 27 février 2024/53). Le vice tiré de la tardiveté de l’acte est irréparable et entraîne l’irrecevabilité de celui-ci (ATF 125 V 65 consid. 1 ; TF 5A_403/2017 du 11 septembre 2017 consid. 6.3.1 ; CREC 21 août 2025/186).</w:t>
      </w:r>
    </w:p>
    <w:p>
      <w:r>
        <w:rPr>
          <w:b/>
        </w:rPr>
        <w:t>E. 3.2</w:t>
      </w:r>
    </w:p>
    <w:p>
      <w:r>
        <w:t>En l’espèce, selon le « suivi des envois » de la poste, l’ordonnance querellée a été notifiée le 3 octobre 2025 au recourant (art. 138 al. 2 CPC). Le délai de dix jours pour interjeter recours a commencé à courir le lendemain (art. 142 al. 1 CPC), pour expirer le lundi 13 octobre</w:t>
      </w:r>
    </w:p>
    <w:p>
      <w:r>
        <w:t>- 4 - 2025. Selon le suivi postal, le courrier, expédié de [...] le lundi 13 octobre 2025, est parvenu à la frontière suisse le vendredi 17 octobre 2025. Le recours n’a ainsi pas été remis à la Poste suisse dans le délai légal. Il est par conséquent irrecevable.</w:t>
      </w:r>
    </w:p>
    <w:p>
      <w:r>
        <w:rPr>
          <w:b/>
        </w:rPr>
        <w:t>E. 4.1</w:t>
      </w:r>
    </w:p>
    <w:p>
      <w:r>
        <w:t>En définitive, le recours doit être déclaré irrecevable, selon le mode procédural de l’art. 322 al. 1 in fine CPC.</w:t>
      </w:r>
    </w:p>
    <w:p>
      <w:r>
        <w:rPr>
          <w:b/>
        </w:rPr>
        <w:t>E. 4.2</w:t>
      </w:r>
    </w:p>
    <w:p>
      <w:r>
        <w:t>Le présent arrêt sera rendu sans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est exécutoire.</w:t>
      </w:r>
    </w:p>
    <w:p>
      <w:r>
        <w:t>- 5 - Le vice-président : La greffière : Du L'arrêt qui précède, dont la rédaction a été approuvée à huis clos, est notifié à : - M. A.H.________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