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ST23.014423 vom 12. Oktober 2023</w:t>
      </w:r>
    </w:p>
    <w:p>
      <w:r>
        <w:t>VD Tribunal cantonal, 2023-10-12, FR</w:t>
      </w:r>
    </w:p>
    <w:p>
      <w:r>
        <w:rPr>
          <w:b/>
        </w:rPr>
        <w:t xml:space="preserve">Quelle: </w:t>
      </w:r>
      <w:r>
        <w:t>https://mcp.opencaselaw.ch/entscheid/vd_gerichte_ST23.014423</w:t>
      </w:r>
    </w:p>
    <w:p>
      <w:r>
        <w:t>FR: VD_GERICHTE ST23.014423 du 12 octobre 2023</w:t>
      </w:r>
    </w:p>
    <w:p>
      <w:r>
        <w:t>IT: VD_GERICHTE ST23.014423 del 12 ottobre 2023</w:t>
      </w:r>
    </w:p>
    <w:p>
      <w:pPr>
        <w:pStyle w:val="Heading2"/>
      </w:pPr>
      <w:r>
        <w:t>Erwägungen</w:t>
      </w:r>
    </w:p>
    <w:p>
      <w:r>
        <w:rPr>
          <w:b/>
        </w:rPr>
        <w:t>E. 1</w:t>
      </w:r>
    </w:p>
    <w:p>
      <w:r>
        <w:t>B.H.________ est décédé le [...] 2023. Il était marié avec la recourante depuis le [...] 2003. Le couple était les parents de trois enfants mineurs, [...], né le [...] 2006, [...], née le [...] 2009, et [...], né le [...] 2012.</w:t>
      </w:r>
    </w:p>
    <w:p>
      <w:r>
        <w:rPr>
          <w:b/>
        </w:rPr>
        <w:t>E. 1.1</w:t>
      </w:r>
    </w:p>
    <w:p>
      <w:r>
        <w:t>En matière de dévolution successorale, le droit fédéral laisse aux cantons la latitude de choisir entre une autorité administrative et un juge, ainsi que de fixer la procédure (Exposé des motifs ad CDPJ [Code de droit privé judiciaire vaudois du 12 janvier 2010 ; BLV 211.021, mai 2009, n. 87 in fine ad art. 108 du projet, p. 77). Dans le canton de Vaud, l'homologation du testament est régie par les art. 128 et 129 CDPJ. Les art. 104 à 109 CDPJ s'appliquent par le</w:t>
      </w:r>
    </w:p>
    <w:p>
      <w:r>
        <w:t>- 4 -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la décision portant sur l'homologation d'un testament ou son refus (art. 109 al. 3 CDPJ et 319 let. b ch. 2 CPC). Le délai de recours étant de dix jours dès la notification (art. 321 al. 2 CPC).</w:t>
      </w:r>
    </w:p>
    <w:p>
      <w:r>
        <w:rPr>
          <w:b/>
        </w:rPr>
        <w:t>E. 1.2</w:t>
      </w:r>
    </w:p>
    <w:p>
      <w:r>
        <w:t>Interjeté en temps utile par une partie ayant un intérêt juridique digne de protection, le recours est recevable. 2.</w:t>
      </w:r>
    </w:p>
    <w:p>
      <w:r>
        <w:rPr>
          <w:b/>
        </w:rPr>
        <w:t>E. 2</w:t>
      </w:r>
    </w:p>
    <w:p>
      <w:r>
        <w:t>Par courrier du 22 mai 2023, la recourante a transmis à la juge de paix un document manuscrit intitulé « Mes 4 amours » signé de la main de B.H.________, constituant selon elle vraisemblablement les dernières volontés de son époux contenues dans une lettre d’adieu datée du 22 mars 2023 qu’il avait rédigée avant de mettre fin à ses jours. La lettre en question contenait notamment la phrase « Tout ce que je possède te revient de droit et vous aidera dans un 1er temps ». Elle a requis de la juge la confirmation que cette phrase pouvait être interprétée comme une dernière volonté de feu son époux.</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Les conclusions, les allégations de fait et les preuves nouvelles sont irrecevables en procédure de recours (art. 326 al. 1 CPC). Toutefois, en procédure gracieuse, le tribunal établit les faits d'office (art. 255 let. b CPC). Il a ainsi le devoir d'éclaircir les faits et de prendre en considération d'office tous les éléments qui peuvent être importants pour rendre sa décision. Il n'est lié ni par les faits allégués, ni par les faits admis, ni par</w:t>
      </w:r>
    </w:p>
    <w:p>
      <w:r>
        <w:t>- 5 - les moyens de preuve invoqués par les parties ; il ordonne d'office l'administration de tous les moyens de preuve propres et nécessaires à établir les faits pertinents. Cependant, l'obligation pour le juge d'établir d'office les faits ne dispense pas les parties d'une collaboration active à la procédure ; il leur incombe ainsi de renseigner le juge sur les faits de la cause et de lui indiquer les moyens de preuve disponibles (CREC 21 janvier 2021/19 ; CREC 29 octobre 2018/327 ; Bohnet, Commentaire Romand, Code de procédure civile [ci-après : CR-CPC], 2e éd., 2019, n. 5 ad art. 255 CPC et les réf. citées).</w:t>
      </w:r>
    </w:p>
    <w:p>
      <w:r>
        <w:rPr>
          <w:b/>
        </w:rPr>
        <w:t>E. 2.2</w:t>
      </w:r>
    </w:p>
    <w:p>
      <w:r>
        <w:t>En l’espèce, la recourante a produit quatre pièces à l’appui de son acte. Ces pièces étant soit des pièces de forme soit des pièces figurant au dossier de première instance, elles sont recevables.</w:t>
      </w:r>
    </w:p>
    <w:p>
      <w:r>
        <w:rPr>
          <w:b/>
        </w:rPr>
        <w:t>E. 3</w:t>
      </w:r>
    </w:p>
    <w:p>
      <w:r>
        <w:t>Par décision du 19 juin 2023, la juge de paix a notamment institué une curatelle de représentation de mineur au sens de l’art. 306 al. 2 CC en faveur des enfants [...], [...] et [...] (I), a nommé [...] en qualité de curatrice (II) et a dit que la curatrice aurait pour tâche de représenter les enfants dans le cadre des opérations de dévolution et de partage de la succession de leur père, décédé le 22 mars 2023 (III). En d roit : 1.</w:t>
      </w:r>
    </w:p>
    <w:p>
      <w:r>
        <w:rPr>
          <w:b/>
        </w:rPr>
        <w:t>E. 3.1</w:t>
      </w:r>
    </w:p>
    <w:p>
      <w:r>
        <w:t>La recourante fait valoir que le document manuscrit du 22 mars 2023 respecte toutes les conditions de forme du testament olographe prévues à l'art. 505 CC. Elle fait valoir en outre que l'intention du défunt de transférer son patrimoine à son épouse résulte bien du document litigieux, lequel contient donc une disposition pour cause de mort.</w:t>
      </w:r>
    </w:p>
    <w:p>
      <w:r>
        <w:rPr>
          <w:b/>
        </w:rPr>
        <w:t>E. 3.2</w:t>
      </w:r>
    </w:p>
    <w:p>
      <w:r>
        <w:t>L'art. 505 al. 1 CC prévoit que le testament olographe doit être écrit en entier, daté et signé de la main du testateur, la date consistant dans la mention de l'année, du mois et du jour où l'acte a été dressé. L'exigence de la mention du lieu a été supprimée. Il doit être écrit du début à la fin de la main du testateur. Le caractère individuel du graphisme est primordial. Selon la doctrine et la jurisprudence, lorsqu'un tiers prête assistance au testateur pour écrire un testament olographe, les passages écrits par une main étrangère sont nuls. Toutefois, l'acte demeure valable si le testateur a écrit lui-même les éléments essentiels des dispositions, ainsi que l'indication du lieu et de la date, de même que sa signature et si les adjonctions de la main du tiers</w:t>
      </w:r>
    </w:p>
    <w:p>
      <w:r>
        <w:t>- 6 - n'ont trait qu'à des éléments d'importance secondaire (ATF 131 III 601 consid. 3.1). Le testament peut revêtir la forme d'une lettre (ATF 117 Il 142 consid. 2a ; ATF 88 Il 67 consid. 2). Une forme n'est pas prescrite pour elle-même. La forme olographe du testament a notamment pour fin de manifester la volonté du testateur, son animus testandi, soit son intention de disposer de ses biens pour après sa mort (ATF 131 III 601 consid. 3.1 et les réf. cit. ; TF 5A_133/2023 du 19 juillet 2023 consid. 3, destiné à la publication), condition indispensable de l'existence et de la validité du testament (ATF 116 Il 117 consid. 7c ; TF 5A_133/2023 précité consid. 3). Cette volonté doit ressortir du testament lui-même, soit de ce que le testateur a écrit.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d'éclairer la volonté manifestée dans les formes légales par le testateur (ATF 131 III 106 consid. 1.1 ; ATF 124 III 414 consid. 3 ; ATF 117 Il 142 consid. 2a ; ATF 115 Il 323 consid. 1a ; TF 5A_133/2023 précité consid. 3).</w:t>
      </w:r>
    </w:p>
    <w:p>
      <w:r>
        <w:rPr>
          <w:b/>
        </w:rPr>
        <w:t>E. 3.3</w:t>
      </w:r>
    </w:p>
    <w:p>
      <w:r>
        <w:t>Il n'est pas contesté que la lettre d'adieu laissée par le défunt répond aux exigences de forme du testament olographe, laquelle est écrite, datée et signée de la main de feu B.H.________ conformément à l’art. 505 al. 1 CC. Par ailleurs, contrairement à ce qu'a retenu le premier juge, il contient également clairement la manifestation de volonté du testateur de disposer de ses biens pour après sa mort. La phrase « Tout ce que je possède te revient de droit et vous aidera dans un 1er temps » atteste bien de cette volonté, le seul terme nécessitant une interprétation est l'expression « de droit », qui ne serait pas exacte si l'on considère le concours avec les descendants prévu à l'art. 462 CC. Toutefois, cette expression peut également avoir une autre acception que seulement</w:t>
      </w:r>
    </w:p>
    <w:p>
      <w:r>
        <w:t>- 7 - juridique et signifier, comme le soutient la recourante, que le défunt considère le transfert de ses biens à son épouse comme légitime. De toute manière, cette difficulté d'interprétation ne suffit pas à exclure qu'il s'agisse d'une disposition pour cause de mort. En définitive, le testament doit être homologué.</w:t>
      </w:r>
    </w:p>
    <w:p>
      <w:r>
        <w:rPr>
          <w:b/>
        </w:rPr>
        <w:t>E. 4.1</w:t>
      </w:r>
    </w:p>
    <w:p>
      <w:r>
        <w:t>Au vu de ce qui précède, le recours est admis et la décision entreprise réformée en ce sens que le document manuscrit du 22 mars 2023 est homologué comme testament.</w:t>
      </w:r>
    </w:p>
    <w:p>
      <w:r>
        <w:rPr>
          <w:b/>
        </w:rPr>
        <w:t>E. 4.2</w:t>
      </w:r>
    </w:p>
    <w:p>
      <w:r>
        <w:t>Il ne sera pas perçu de frais judiciaires de deuxième instance (art. 10 TFJC [tarif des frais judiciaires civils du 28 septembre 2010 ; BLV 270.11.5]).</w:t>
      </w:r>
    </w:p>
    <w:p>
      <w:r>
        <w:rPr>
          <w:b/>
        </w:rPr>
        <w:t>E. 4.3</w:t>
      </w:r>
    </w:p>
    <w:p>
      <w:r>
        <w:t>Il n'y a pas lieu de mettre de dépens à la charge de l'Etat, qui ne peut être considéré ici comme une partie succombante au sens de l’art. 106 al. 1 CPC (ATF 139 III 471 consid. 3.3 ; CREC 22 juillet 2020/171). Par ces motifs, la Chambre des recours civile du Tribunal cantonal, prononce : I. Le recours est admis. II. La décision est réformée en ce sens que le document manuscrit du 22 mars 2023 est homologué comme testament. III. L’arrêt, rendu sans frais, est exécutoire.</w:t>
      </w:r>
    </w:p>
    <w:p>
      <w:r>
        <w:t>- 8 - La présidente : La greffière : Du L'arrêt qui précède, dont la rédaction a été approuvée à huis clos, est notifié à : - Me Jérôme Reymond (pour A.H.________), - Mme [...] (pour [...], [...] et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