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ST22.024901 vom 25. November 2022</w:t>
      </w:r>
    </w:p>
    <w:p>
      <w:r>
        <w:t>VD Tribunal cantonal, 2022-11-25, FR</w:t>
      </w:r>
    </w:p>
    <w:p>
      <w:r>
        <w:rPr>
          <w:b/>
        </w:rPr>
        <w:t xml:space="preserve">Quelle: </w:t>
      </w:r>
      <w:r>
        <w:t>https://mcp.opencaselaw.ch/entscheid/vd_gerichte_ST22.024901</w:t>
      </w:r>
    </w:p>
    <w:p>
      <w:r>
        <w:t>FR: VD_GERICHTE ST22.024901 du 25 novembre 2022</w:t>
      </w:r>
    </w:p>
    <w:p>
      <w:r>
        <w:t>IT: VD_GERICHTE ST22.024901 del 25 novembre 2022</w:t>
      </w:r>
    </w:p>
    <w:p>
      <w:pPr>
        <w:pStyle w:val="Heading2"/>
      </w:pPr>
      <w:r>
        <w:t>Erwägungen</w:t>
      </w:r>
    </w:p>
    <w:p>
      <w:r>
        <w:rPr>
          <w:b/>
        </w:rPr>
        <w:t>E. 3.1</w:t>
      </w:r>
    </w:p>
    <w:p>
      <w:r>
        <w:t>La qualité pour recourir ou appeler suppose un intérêt actuel et pratique à obtenir l'annulation ou la réforme de la décision attaquée (ATF 140 III 92 consid. 1.2, JdT 2014 II 348 ; ATF 128 Il 34 consid. 1.b ; ATF 127 III 429 consid. lb ; TF 4A_555/2014 du 12 mars 2015 consid. 4.3),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parce qu'un fait nouveau affecte l'objet du litige et lui enlève tout intérêt, le recours devient sans objet (ATF 142 I 135 consid. 1.3.1 ; ATF 140 III 92 consid. 3, JdT 2014 II 348 ; TF 8D_6/2019 du 4 février 2020 consid. 1.3) et la cause doit être rayée du rôle en application de l'art. 242 CPC (Code de procédure civile du 19 décembre 2008, RS 272), disposition qui trouve également application devant l'autorité d'appel ou de recours (TF 5A_1035/2019 du 12 mars 2020 consid. 7.2). L'absence d'un tel intérêt doit être constatée d'office (CACI 7 juillet 2014/369) (CREC 28 mars 2022/85 ; consid. 4.1.2).</w:t>
      </w:r>
    </w:p>
    <w:p>
      <w:r>
        <w:rPr>
          <w:b/>
        </w:rPr>
        <w:t>E. 3.2</w:t>
      </w:r>
    </w:p>
    <w:p>
      <w:r>
        <w:t>Dans sa critique contre la décision du 12 septembre 2022, la recourante ne remet pas en cause le raisonnement du premier juge, qui consiste à soutenir que l'instruction de la question d’une faillite de la</w:t>
      </w:r>
    </w:p>
    <w:p>
      <w:r>
        <w:t>- 4 - succession, avec tout ce qu'elle comporte, rendrait la procédure en bénéfice d'inventaire dénuée de chances de succès. Cela étant, elle met en avant l'existence d'actifs qui pourraient laisser apparaître, s'ils devaient être avérés, que la succession ne serait pas insolvable, ce qui ouvrirait la voie à la procédure de bénéfice d'inventaire. Dans la mesure où les éléments avancés par la recourante à l'appui de son recours du 21 septembre 2022 ont été dûment pris en compte dans la nouvelle décision rendue par le premier juge, il y a lieu de constater que le présent recours est devenu sans objet, étant précisé que la cause de dévolution successorale est pour l'heure suspendue, que par conséquent le premier juge ne s’est pas encore prononcé sur la suite de la procédure, que la recourante pourra recourir contre la décision à venir et que, surtout, le premier juge a exposé que si les conditions d'ouverture de la procédure de bénéfice d'inventaire étaient remplies, l'assistance judiciaire serait accordée dans le sens d'une dispense d'avance de frais. Le recours ne contient aucun grief sur la question de la représentation d'office, ce qui ne permet pas d'examiner plus avant cette question. Quoi qu’il en soit, le premier juge a de toute manière maintenu son refus de l’assistance judiciaire dans sa nouvelle décision du 15 novembre 2022, demeurée incontestée par la recourante. L’éventuel dépôt d’un recours contre cette dernière décision aurait d’ailleurs ôté tout intérêt actuel ou pratique au présent recours. Dans ces circonstances, la recourante ne dispose plus d'aucun intérêt actuel à la réforme de la décision attaquée. Le recours est dès lors devenu sans objet. Il convient d’en prendre acte et de rayer la cause du rôle (art. 242 CPC).</w:t>
      </w:r>
    </w:p>
    <w:p>
      <w:r>
        <w:rPr>
          <w:b/>
        </w:rPr>
        <w:t>E. 4</w:t>
      </w:r>
    </w:p>
    <w:p>
      <w:r>
        <w:t>Le présent arrêt peut être rendu sans frais judiciaires (art. 11 TFJC [tarif du 28 septembre 2010 des frais judiciaires civils, RSV 270.11.5]).</w:t>
      </w:r>
    </w:p>
    <w:p>
      <w:r>
        <w:t>- 5 - Par ces motifs, la Chambre des recours civile du Tribunal cantonal, prononce : I. Le recours est sans objet. II. La cause est rayée du rôle. III. L’arrêt, rendu sans frais, est exécutoire. Le président : La greffière : Du L'arrêt qui précède, dont la rédaction a été approuvée à huis clos, est notifié à : - Mme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