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ST20.034588 vom 23. September 2022</w:t>
      </w:r>
    </w:p>
    <w:p>
      <w:r>
        <w:t>VD Tribunal cantonal, 2022-09-23, FR</w:t>
      </w:r>
    </w:p>
    <w:p>
      <w:r>
        <w:rPr>
          <w:b/>
        </w:rPr>
        <w:t xml:space="preserve">Quelle: </w:t>
      </w:r>
      <w:r>
        <w:t>https://mcp.opencaselaw.ch/entscheid/vd_gerichte_ST20.034588</w:t>
      </w:r>
    </w:p>
    <w:p>
      <w:r>
        <w:t>FR: VD_GERICHTE ST20.034588 du 23 septembre 2022</w:t>
      </w:r>
    </w:p>
    <w:p>
      <w:r>
        <w:t>IT: VD_GERICHTE ST20.034588 del 23 settembre 2022</w:t>
      </w:r>
    </w:p>
    <w:p>
      <w:pPr>
        <w:pStyle w:val="Heading2"/>
      </w:pPr>
      <w:r>
        <w:t>Erwägungen</w:t>
      </w:r>
    </w:p>
    <w:p>
      <w:r>
        <w:rPr>
          <w:b/>
        </w:rPr>
        <w:t>E. 1</w:t>
      </w:r>
    </w:p>
    <w:p>
      <w:r>
        <w:t>Par décision du 19 juillet 2022, la Juge de paix du district de Nyon (ci-après : la juge de paix) a rectifié l’inventaire civil des biens de la succession de B.E.________ et a renoncé à procéder à ce stade au transfert de l’immeuble au registre foncier. Elle a indiqué les voies de droit et transmis aux destinataires de la décision l’inventaire civil des biens de la succession tel que rectifié.</w:t>
      </w:r>
    </w:p>
    <w:p>
      <w:r>
        <w:rPr>
          <w:b/>
        </w:rPr>
        <w:t>E. 2</w:t>
      </w:r>
    </w:p>
    <w:p>
      <w:r>
        <w:t>Par courrier adressé à la juge de paix le 29 juillet 2022, F.________ et A.E.________ ont posé six questions à la juge de paix au sujet de l’inventaire en question, tout en l’invitant à y répondre par retour de courrier compte tenu du délai de recours qui courait. Par courrier du 4 août 2022, la suppléante de la juge de paix a, en l’absence de celle-ci, indiqué à F.________ et A.E.________ que leur correspondance était considérée comme une nouvelle demande de rectification de l’inventaire civil et que la juge en charge du dossier statuerait sur la requête ultérieurement. Par courrier du 16 août 2022, F.________ et A.E.________ ont indiqué avoir pris acte du fait que la juge de paix acceptait de réexaminer le projet d’inventaire civil et ont contesté la qualification de bien propre du compte bancaire n. [...] de l’épouse de feu B.E.________. Ils ont par ailleurs requis la production par la curatrice de tous documents qui justifieraient que le compte en question ait été crédité d’un héritage, du relevé indiquant le transfert de ce compte pour la création du portefeuille-titres, ainsi que des relevés montrant les montants crédités lors de la vente de la voiture de marque Lancia et lors de la vente de la voiture de marque Citroën.</w:t>
      </w:r>
    </w:p>
    <w:p>
      <w:r>
        <w:rPr>
          <w:b/>
        </w:rPr>
        <w:t>E. 3</w:t>
      </w:r>
    </w:p>
    <w:p>
      <w:r>
        <w:t>Par courrier du 6 septembre 2022, la juge de paix a informé F.________ et A.E.________ qu’elle n’entrerait pas en matière sur leur requête, tout en les invitant à lui indiquer si elle devait considérer leur</w:t>
      </w:r>
    </w:p>
    <w:p>
      <w:r>
        <w:t>- 3 - courrier comme un recours, auquel cas le dossier serait transféré au Tribunal cantonal. Par courrier du 14 septembre 2022, F.________ et A.E.________ ont admis que leur contestation soit considérée comme un recours.</w:t>
      </w:r>
    </w:p>
    <w:p>
      <w:r>
        <w:rPr>
          <w:b/>
        </w:rPr>
        <w:t>E. 4.1.1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L'administration d'office d'une succession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 Pour les décisions prises en procédure sommaire, le délai de recours est de dix jours (art. 321 al. 2 CPC). Le recours doit être déposé auprès de la Chambre des recours civile, dont la compétence découle de l’art. 73 LOJV (loi d’organisation judiciaire du 12 décembre 1979 ; BLV 173.01).</w:t>
      </w:r>
    </w:p>
    <w:p>
      <w:r>
        <w:rPr>
          <w:b/>
        </w:rPr>
        <w:t>E. 4.1.2</w:t>
      </w:r>
    </w:p>
    <w:p>
      <w:r>
        <w:t>Pour être recevable, le recours doit en outre être motivé (art. 321 al. 1 in initio CPC). A cet égard, les exigences de motivation applicables à l'appel doivent à tout le moins être remplies pour le recours, la question de savoir si l'on doit être plus exigeant ayant été laissée</w:t>
      </w:r>
    </w:p>
    <w:p>
      <w:r>
        <w:t>- 4 - ouverte (ATF 147 III 176 consid. 4.2.1, RSPC 2021 p. 252 note Droese ; TF 5A_247/2013 du 15 octobre 2013 consid. 3.1, RSPC 2014 p. 154 ; TF 5A_488/ 2015 du 21 août 2015 consid. 3.2.1 ; TF 5A_387/2016 du 7 septembre 2016 consid. 3.1 ; TF 5D_43/2019 du 24 mai 2019 consid. 3.2.2.1 ; TF 5A_43/2022 du 13 avril 2022 consid. 2.2).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w:t>
      </w:r>
    </w:p>
    <w:p>
      <w:r>
        <w:rPr>
          <w:b/>
        </w:rPr>
        <w:t>E. 4.1.3</w:t>
      </w:r>
    </w:p>
    <w:p>
      <w:r>
        <w:t>De plus,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consid. 4.2.1). Dès lors, les conclusions doivent être rédigées d’une manière suffisamment précise pour pouvoir être reprises telles quelles dans le dispositif de la décision à rendre (ATF 137 Ill 617 consid.</w:t>
      </w:r>
    </w:p>
    <w:p>
      <w:r>
        <w:rPr>
          <w:b/>
        </w:rPr>
        <w:t>E. 4.1.4</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w:t>
      </w:r>
    </w:p>
    <w:p>
      <w:r>
        <w:t>- 5 -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5A_488/2015 du 21 août 2015 consid. 3.2.2 ; TF 4A_659/2011 du 7 décembre 2011 consid. 5, SJ 2012 I 231, in Revue suisse de procédure civile [RSPC] 2012 p. 128).</w:t>
      </w:r>
    </w:p>
    <w:p>
      <w:r>
        <w:rPr>
          <w:b/>
        </w:rPr>
        <w:t>E. 4.2</w:t>
      </w:r>
    </w:p>
    <w:p>
      <w:r>
        <w:t>En l’espèce, dans leur courrier du 29 juillet 2022, les recourants posent avant tout des questions et ne tentent pas de démontrer en quoi la décision serait erronée. Quant au courrier du 16 août 2022, il a été déposé en dehors du délai de recours, de sorte que les arguments qu’il contient sont tardifs. Quoi qu’il en soit, le recours est de toute manière irrecevable en tant qu’il ne contient aucune conclusion en annulation ou en réforme de la décision, comme l’exige la jurisprudence précitée. Pour le surplus, il n’est pas possible d’accorder au recourant un délai supplémentaire pour compléter sa motivation et ses conclusions, le vice étant irrémédiable. Partant, l’acte de recours ne satisfait pas aux exigences de motivation et de conclusions et doit par conséquent être déclaré irrecevable, en application de l’art. 322 al. 1 in fine CPC.</w:t>
      </w:r>
    </w:p>
    <w:p>
      <w:r>
        <w:rPr>
          <w:b/>
        </w:rPr>
        <w:t>E. 4.3</w:t>
      </w:r>
    </w:p>
    <w:p>
      <w:r>
        <w:t>et 4.4 et les réf. citées, rés. in SJ 2012 1373 ; TF 4D_71/2020 du 23 février 2021 consid. 3.1).</w:t>
      </w:r>
    </w:p>
    <w:p>
      <w:r>
        <w:rPr>
          <w:b/>
        </w:rPr>
        <w:t>E. 5</w:t>
      </w:r>
    </w:p>
    <w:p>
      <w:r>
        <w:t>Il ne sera pas perçu de frais judiciaires de deuxième instance (art. 11 TFJC [tarif des frais judiciaires civils du 28 septembre 2010 ; BLV 270.11.5]). Il n’y a pas lieu à l’allocation de dépens de deuxième instance, l’intimée [...], n’ayant pas été invitée à déposer une réponse (art. 322 al. 1 in fine CPC).</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Daniel Pache (pour F.________ et A.E.________), - Me Christophe Misteli (pour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