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ST19.056114 vom 21. Oktober 2021</w:t>
      </w:r>
    </w:p>
    <w:p>
      <w:r>
        <w:t>VD Tribunal cantonal, 2021-10-21, FR</w:t>
      </w:r>
    </w:p>
    <w:p>
      <w:r>
        <w:rPr>
          <w:b/>
        </w:rPr>
        <w:t xml:space="preserve">Quelle: </w:t>
      </w:r>
      <w:r>
        <w:t>https://mcp.opencaselaw.ch/entscheid/vd_gerichte_ST19.056114</w:t>
      </w:r>
    </w:p>
    <w:p>
      <w:r>
        <w:t>FR: VD_GERICHTE ST19.056114 du 21 octobre 2021</w:t>
      </w:r>
    </w:p>
    <w:p>
      <w:r>
        <w:t>IT: VD_GERICHTE ST19.056114 del 21 ottobre 2021</w:t>
      </w:r>
    </w:p>
    <w:p>
      <w:pPr>
        <w:pStyle w:val="Heading2"/>
      </w:pPr>
      <w:r>
        <w:t>Erwägungen</w:t>
      </w:r>
    </w:p>
    <w:p>
      <w:r>
        <w:rPr>
          <w:b/>
        </w:rPr>
        <w:t>E. 1.1</w:t>
      </w:r>
    </w:p>
    <w:p>
      <w:r>
        <w:t>Par acte du 24 septembre 2021, A.S.________ a requis, dans le cadre des successions d[...] etB.S.________, respectivement son père et sa mère, que le Juge de paix du district de Lavaux-Oron (ci-après : juge de paix) ordonne les mesures conservatoires suivantes : « I. Ordre est donné au Notaire (…) de garder sur son compte de consignation le solde du prix de vente de l’immeuble n° [...] du Registre foncier de Lutry, sous la menace de l’art. 292 CP, jusqu’à jugement définitif et exécutoire portant sur le partage. II. Ordre est donné au Registre foncier de Lutry d’inscrire une restriction du droit d’aliéner sur l’immeuble n° [...] du Registre foncier de Lutry en faveur d’A.S.________ (…). »</w:t>
      </w:r>
    </w:p>
    <w:p>
      <w:r>
        <w:rPr>
          <w:b/>
        </w:rPr>
        <w:t>E. 1.2</w:t>
      </w:r>
    </w:p>
    <w:p>
      <w:r>
        <w:t>Par décision du 1er octobre 2021, notifiée à A.S.________ le 4 octobre suivant, la juge de paix a rejeté cette requête. Elle a considéré qu’après la délivrance d’un certificat d’héritier, le 21 octobre 2020, elle n’était plus compétente pour ordonner des mesures conservatoires au sens de l’art. 551 CC (Code civil suisse du 10 décembre 1907 ; RS 210) et qu’au demeurant une procédure contentieuse était pendante entre héritiers devant le Tribunal d’arrondissement de l’Est vaudois, lequel avait d’ailleurs rendu des mesures superprovisionnelles.</w:t>
      </w:r>
    </w:p>
    <w:p>
      <w:r>
        <w:rPr>
          <w:b/>
        </w:rPr>
        <w:t>E. 2</w:t>
      </w:r>
    </w:p>
    <w:p>
      <w:r>
        <w:t>Par acte posté le 14 octobre 2021, A.S.________ (ci-après : la recourante) a demandé que les actifs de l’hoirie « soient mis sous protection (d’une manière ou d’une autre) ». La recourante a également requis un délai supplémentaire d’au minimum deux à trois semaines pour pouvoir 1) déposer un exposé des faits précis avec ses conclusions, 2) produire toutes les pièces nécessaires et 3) déposer une demande d’assistance judiciaire avec toutes les pièces y relatives.</w:t>
      </w:r>
    </w:p>
    <w:p>
      <w:r>
        <w:t>- 3 -</w:t>
      </w:r>
    </w:p>
    <w:p>
      <w:r>
        <w:rPr>
          <w:b/>
        </w:rPr>
        <w:t>E. 3</w:t>
      </w:r>
    </w:p>
    <w:p>
      <w:r>
        <w:t>CDPJ est recevable, quelle que soit la valeur litigieuse prise en considération (CREC 29 juillet 2014/255 ; CREC 11 mars 2013/74). Pour les décisions prises en procédure sommaire, le délai de recours est de dix jours (art. 321 al. 2 CPC).</w:t>
      </w:r>
    </w:p>
    <w:p>
      <w:r>
        <w:rPr>
          <w:b/>
        </w:rPr>
        <w:t>E. 3.1.1</w:t>
      </w:r>
    </w:p>
    <w:p>
      <w:r>
        <w:t>En l’espèce, le recours a été déposé en temps utile et par une partie qui a un intérêt digne de protection (art. 59 al. 2 let. a CPC).</w:t>
      </w:r>
    </w:p>
    <w:p>
      <w:r>
        <w:rPr>
          <w:b/>
        </w:rPr>
        <w:t>E. 3.2.1</w:t>
      </w:r>
    </w:p>
    <w:p>
      <w:r>
        <w:t>Aux termes de l’art. 321 al. 1 CPC, le recours doit être écrit et motivé. Il doit en outre contenir, sous peine d’irrecevabilité, des conclusions en annulation ou au fond, soit ce que la partie veut que le tribunal lui alloue dans sa décision (CREC 11 mai 2012/173). La motivation est une condition légale de recevabilité qui doit être examinée d'office (ATF 134 II 244 consid. 2.4.2 p. 248). Il incombe au recourant de s'en prendre à la motivation de la décision attaquée pour tendre à en démontrer le caractère erroné. Pour satisfaire à cette exigence, le recourant doit discuter au moins de manière succincte les</w:t>
      </w:r>
    </w:p>
    <w:p>
      <w:r>
        <w:t>- 4 - considérants du jugement qu'il attaque et 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Il est communément admis en procédure que la motivation d'un acte de recours doit être entièrement contenue dans le mémoire de recours lui-même. Elle ne saurait dès lors être complétée ou corrigée ultérieurement. Si elle fait défaut, la juridiction d'appel ou de recours n'entre pas en matière (TF 5A_206/2016 du 1er juin 2016 consid. 4.2.2 et les arrêts cités). Le CPC ne prévoit pas qu'en présence d'un mémoire de recours ne satisfaisant pas aux exigences légales, notamment de motivation, un délai raisonnable devrait toujours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4A_258/2015 du 21 octobre 2015 consid. 2.4.1; TF 5A_488/2015 du 21 août 2015 consid. 3.2.2 et les arrêts cités). Il en va de même de l'art. 56 CPC, qui concerne les allégations de fait et n’est donc pas applicable en cas d'absence de motivation d'un acte de recours (TF 5A_206/2016 du 1er juin 2016 consid. 4.2.2 et les arrêts cités).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 citées ; CREC 13 mai 2020/116 consid. 4.1.2 ).</w:t>
      </w:r>
    </w:p>
    <w:p>
      <w:r>
        <w:t>- 5 -</w:t>
      </w:r>
    </w:p>
    <w:p>
      <w:r>
        <w:rPr>
          <w:b/>
        </w:rPr>
        <w:t>E. 3.2.2</w:t>
      </w:r>
    </w:p>
    <w:p>
      <w:r>
        <w:t>En l’espèce, la juge de paix a rejeté la requête de la recourante pour le motif qu’elle n’était pas compétente pour connaître les griefs de celle-ci et l’a invitée à agir, le cas échéant, devant l’autorité compétente. La recourante ne conteste pas cette appréciation, se contentant d’alléguer, comme devant l’autorité précédente, que son cohéritier tente par divers moyens illicites de dilapider les actifs de l’hoirie. Dès lors que l’acte de recours ne contient pas de critique ciblée à l’encontre de la décision entreprise, le recours s’avère irrecevable faute de motivation topique formulée dans le délai de recours. On précisera, au vu de la jurisprudence qui précède, qu’il n’est pas possible d’accorder à la recourante un délai supplémentaire pour compléter sa motivation ou ses conclusions.</w:t>
      </w:r>
    </w:p>
    <w:p>
      <w:r>
        <w:rPr>
          <w:b/>
        </w:rPr>
        <w:t>E. 4</w:t>
      </w:r>
    </w:p>
    <w:p>
      <w:r>
        <w:t>Au vu de ce qui précède, le recours doit être déclaré irrecevable en application de l’art. 322 al. 1 in fine CPC. Le présent arrêt peut être rendu sans frais judiciaires de deuxième instance (art. 11 TFJC [Tarif des frais judiciaires civils du 28 septembre 2010 ; BLV 270.11.5]). Dans la mesure où la recourante, qui a agi sans représentant professionnel, n’assume aucun frais en rapport avec la présente procédure, sa requête d’assistance judiciaire est sans objet. Par ces motifs, la Chambre des recours civile du Tribunal cantonal, en application de l'art. 322 al. 1 CPC, prononce : I. Le recours est irrecevable. II. La requête d’assistance judiciaire est sans objet. III. L’arrêt, rendu sans frais, est exécutoire.</w:t>
      </w:r>
    </w:p>
    <w:p>
      <w:r>
        <w:t>- 6 - Le président : La greffière : Du L'arrêt qui précède, dont la rédaction a été approuvée à huis clos, est notifié à : - Mme A.S.________.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