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ST19.020732 vom 25. Juli 2019</w:t>
      </w:r>
    </w:p>
    <w:p>
      <w:r>
        <w:t>VD Tribunal cantonal, 2019-07-25, FR</w:t>
      </w:r>
    </w:p>
    <w:p>
      <w:r>
        <w:rPr>
          <w:b/>
        </w:rPr>
        <w:t xml:space="preserve">Quelle: </w:t>
      </w:r>
      <w:r>
        <w:t>https://mcp.opencaselaw.ch/entscheid/vd_gerichte_ST19.020732</w:t>
      </w:r>
    </w:p>
    <w:p>
      <w:r>
        <w:t>FR: VD_GERICHTE ST19.020732 du 25 juillet 2019</w:t>
      </w:r>
    </w:p>
    <w:p>
      <w:r>
        <w:t>IT: VD_GERICHTE ST19.020732 del 25 luglio 2019</w:t>
      </w:r>
    </w:p>
    <w:p>
      <w:pPr>
        <w:pStyle w:val="Heading2"/>
      </w:pPr>
      <w:r>
        <w:t>Erwägungen</w:t>
      </w:r>
    </w:p>
    <w:p>
      <w:r>
        <w:rPr>
          <w:b/>
        </w:rPr>
        <w:t>E. 1</w:t>
      </w:r>
    </w:p>
    <w:p>
      <w:r>
        <w:t>al. 1 CO ; ATF 49 II 96 ; ATF 144 III 93 consid. 5.1.2 ; Baddeley, op. cit., n. 7 ad art. 239 CO ; Tercier/Bieri/Carron, op. cit., nn. 1516 ss). Est en particulier essentielle l'intention de donner du donateur (animus donandi ; ATF 98 II 352 consid. 3b ; TF 5A_87/2010 du 5 mai 2010 consid. 3.1 ; Baddeley, op. cit., nn. 27 ss ad art. 239 CO ; Tercier/Bieri/Carron, op. cit., n. 1509). Le simple transfert du permis de circulation des véhicules au nom de la recourante ne permet pas d'établir l'animus donandi de feu A.S.________, ce d'autant plus qu'il ressort de l'ordonnance litigieuse que ce</w:t>
      </w:r>
    </w:p>
    <w:p>
      <w:r>
        <w:t>- 6 - transfert est postérieur au décès de celui-ci, sans que l'arbitraire n'ait été dénoncé en lien avec cette constatation. Au vu de ce qui précède, l'ordonnance entreprise ne prête pas le flanc à la critique. 7. En définitive, le recours doit être rejeté selon le mode procédural de l'art. 322 al. 1 CPC et l’ordonnance querellée confirmée. Les frais judiciaires de deuxième instance, arrêtés à 500 fr. (art. 74 al. 1 TFJC [tarif des frais judiciaires civils du 28 septembre 2010 ; BLV 270.11.5]), sont mis à la charge de la recourante, qui succombe (art. 106 al. 1 CPC). Il n'y a pas lieu à l'allocation de dépens, B.S.________ et C.S.________ n'ayant pas été invités à se déterminer. Par ces motifs, la Chambre des recours civile du Tribunal cantonal, en application de l'art. 322 al. 1 CPC, prononce : I. Le recours est rejeté. II. L’ordonnance est confirmée. III. Les frais judiciaires de deuxième instance, arrêtés à 500 fr. (cinq cents francs), sont mis à la charge de la recourante X.________. IV. L’arrêt est exécutoire.</w:t>
      </w:r>
    </w:p>
    <w:p>
      <w:r>
        <w:t>- 7 - Le président : La greffière : Du L'arrêt qui précède est notifié par l'envoi de photocopies à : - Me Patricia Michellod (pour X.________), - Mes Yanna Hofer et Melina Haralobopoulos (pour B.S.________ et C.S.________).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