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ST18.028577 vom 6. November 2019</w:t>
      </w:r>
    </w:p>
    <w:p>
      <w:r>
        <w:t>VD Tribunal cantonal, 2019-11-06, FR</w:t>
      </w:r>
    </w:p>
    <w:p>
      <w:r>
        <w:rPr>
          <w:b/>
        </w:rPr>
        <w:t xml:space="preserve">Quelle: </w:t>
      </w:r>
      <w:r>
        <w:t>https://mcp.opencaselaw.ch/entscheid/vd_gerichte_ST18.028577</w:t>
      </w:r>
    </w:p>
    <w:p>
      <w:r>
        <w:t>FR: VD_GERICHTE ST18.028577 du 6 novembre 2019</w:t>
      </w:r>
    </w:p>
    <w:p>
      <w:r>
        <w:t>IT: VD_GERICHTE ST18.028577 del 6 novembre 2019</w:t>
      </w:r>
    </w:p>
    <w:p>
      <w:pPr>
        <w:pStyle w:val="Heading2"/>
      </w:pPr>
      <w:r>
        <w:t>Erwägungen</w:t>
      </w:r>
    </w:p>
    <w:p>
      <w:r>
        <w:rPr>
          <w:b/>
        </w:rPr>
        <w:t>E. 1</w:t>
      </w:r>
    </w:p>
    <w:p>
      <w:r>
        <w:t>Par pacte successoral conclu le 8 février 1993 entre [...], d’une part, et ses enfants A.A.________, E.A.________, I.________ et [...] d’autre part, la première a notamment attribué à I.________ les unités par étage sises à [...], dont la part à titre onéreux (rentes viagères de 26'000 fr. par an, droit d’habitation du studio, reprise de dette de 220'000 fr.) a été fixée à 539'500 francs. La clause 3 de ce pacte successoral prévoyait que la libéralité en faveur d’I.________ constituait une libéralité en faveur d’un grevé s’inscrivant dans le cadre d’une substitution fidéicommissaire, les appelés étant les héritiers légaux en ligne directe de la testatrice bénéficiant de parts légales. Il était précisé qu’en cas d’acquisition des biens par les appelés, la contre-valeur de la rente viagère et du droit d’habitation serait considérée comme compensée par les revenus immobiliers, que la dette hypothécaire de 220'000 fr. serait reprise dans la même proportion par les appelés, qu’à cet égard, I.________ désignait A.A.________, E.A.________ et [...], ou, à défaut, leurs descendants, en tant qu’appelés pour ce qui concernait les immeubles attribués de manière anticipée, et que la garantie y relative était prévue par une clause exceptionnelle dans le contrat de donation. Par testament authentique du 9 mars 2012, feu I.________ a révoqué toutes dispositions à cause de mort qu’elle avait prises</w:t>
      </w:r>
    </w:p>
    <w:p>
      <w:r>
        <w:t>- 4 - antérieurement (article 1). Elle a institué héritiers, sous réserve des legs prévus à l’article 5 dudit testament, la Fondation [...] et son époux [...] pour sa réserve de 3/8 tant que subsistaient les liens du mariage (article 3). Elle a en outre fixé une règle de partage (article 4), a prescrit des legs à imputer sur la quotité disponible (article 5) et a désigné [...] ou, à défaut, son épouse [...], en qualité d’exécuteur testamentaire (article 7). Par codicille du 5 novembre 2014, feu I.________ a notamment confirmé ses dispositions de dernières volontés prises dans son testament authentique du 9 mars 2012, mais elle a modifié l’article 5 let. e et n ainsi que l’article 7 dudit testament selon lequel [...] était désigné exécuteur testamentaire ou, à défaut, son épouse [...], ajoutant qu’à défaut, leur fils [...] était désigné en cette qualité.</w:t>
      </w:r>
    </w:p>
    <w:p>
      <w:r>
        <w:rPr>
          <w:b/>
        </w:rPr>
        <w:t>E. 1.1</w:t>
      </w:r>
    </w:p>
    <w:p>
      <w:r>
        <w:t>L’inventaire successoral est une mesure de sûreté, régie par les art. 553 CC et 117 CDPJ (Code de droit privé judiciaire vaudois du 12 janvier 2010 ; BLV 211.02), qui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L'inventaire successoral étant régi par la procédure sommaire, il peut faire l'objet d'un recours aux conditions de l'art. 321 al. 1 et 2 CPC, devant la Chambre des recours civile (art. 73 al. 1 LOJV [loi d'organisation judiciaire du 12 décembre 1979 ; BLV 173.01]). Lorsque l'inventaire civil fait l'objet de critiques, la jurisprudence vaudoise permet à l'héritier de déposer une requête en rectification de l'inventaire, afin que ses points de contestation soient réexaminés par le juge de paix. Ce n'est que lorsque le juge de paix a statué sur la requête déposée par l'héritier que celui-ci peut, s'il n'est toujours pas d'accord avec l'inventaire rectifié, interjeter recours contre la décision du juge de paix prononcée ensuite de sa requête (CREC 1er mai 2015/164 ; CREC 3 mai 2013/130 ; CREC 27 avril 2012/160 ; JdT 1983 III 114 consid. 5).</w:t>
      </w:r>
    </w:p>
    <w:p>
      <w:r>
        <w:rPr>
          <w:b/>
        </w:rPr>
        <w:t>E. 1.2</w:t>
      </w:r>
    </w:p>
    <w:p>
      <w:r>
        <w:t>En l'espèce, les recourants ont déposé une requête de rectification au premier juge et, à la fois, déposé le présent recours pour sauvegarder leurs droits. La procédure de recours a été suspendue jusqu'à droit connu sur la demande de rectification de l'inventaire, laquelle a été</w:t>
      </w:r>
    </w:p>
    <w:p>
      <w:r>
        <w:t>- 9 - refusée le 13 septembre 2019, motivant ainsi le maintien des conclusions antérieurement prises par les recourants. Le recours, formé en temps utile par des parties ayant un intérêt digne de protection (art. 59 al. 2 let. a CPC), est recevable. 2.</w:t>
      </w:r>
    </w:p>
    <w:p>
      <w:r>
        <w:rPr>
          <w:b/>
        </w:rPr>
        <w:t>E. 2</w:t>
      </w:r>
    </w:p>
    <w:p>
      <w:r>
        <w:t>I.________ est décédée le [...] 2018.</w:t>
      </w:r>
    </w:p>
    <w:p>
      <w:r>
        <w:rPr>
          <w:b/>
        </w:rPr>
        <w:t>E. 2.1</w:t>
      </w:r>
    </w:p>
    <w:p>
      <w:r>
        <w:t>Le recours peut être formé pour violation du droit (art. 320 let. a CPC) et constatation manifestement inexacte des faits (art. 320 let. b CPC). L'autorité de recours dispose d'un plein pouvoir d'examen s'agissant de la violation du droit (Spühler,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A teneur de l'art. 326 al. 1 CPC, applicable à titre supplétif, les conclusions, les allégations de fait et les preuves nouvelles sont irrecevables en procédure de recours.</w:t>
      </w:r>
    </w:p>
    <w:p>
      <w:r>
        <w:rPr>
          <w:b/>
        </w:rPr>
        <w:t>E. 2.2.1</w:t>
      </w:r>
    </w:p>
    <w:p>
      <w:r>
        <w:t>En l’occurrence, les recourants font valoir que les pièces justificatives remises par l'expert à la justice de paix à l'appui de son inventaire n'ont pas été transférées aux héritiers et requièrent que ces pièces soient versées au dossier. Le dossier de la succession de feu I.________ fait partie intégrante de la cause, de même que les pièces justificatives déposées à l'appui de l'inventaire civil, de sorte que cette requête doit être rejetée.</w:t>
      </w:r>
    </w:p>
    <w:p>
      <w:r>
        <w:t>- 10 -</w:t>
      </w:r>
    </w:p>
    <w:p>
      <w:r>
        <w:rPr>
          <w:b/>
        </w:rPr>
        <w:t>E. 2.2.2</w:t>
      </w:r>
    </w:p>
    <w:p>
      <w:r>
        <w:t>Outre les pièces de forme (pièces 1 et 2), les recourants ont produit sept pièces à l’appui de leur recours. Les pièces 3 à 7 figurent déjà dans le dossier de première instance, de sorte qu’elles sont recevables. Quant aux pièces 8 et 9, elles sont irrecevables, s’agissant de pièces nouvelles ; supposées recevables, elles ne sont de toute manière pas pertinentes pour l’issue du litige. 3.</w:t>
      </w:r>
    </w:p>
    <w:p>
      <w:r>
        <w:rPr>
          <w:b/>
        </w:rPr>
        <w:t>E. 3</w:t>
      </w:r>
    </w:p>
    <w:p>
      <w:r>
        <w:t>a) Les 14 et 18 septembre 2018, A.A.________, E.A.________, B.M.________ et A.M.________ – ces deux dernières étant les filles d’ [...], entre-temps décédée –, ont formulé des oppositions contre les droits des héritiers institués d’après les dispositions de dernières volontés de la défunte des 10 juillet 2007, 4 août 2011, 9 mars 2012 et 5 novembre 2014 ou toute autre disposition testamentaire. Ils se sont également opposés à la délivrance de certificats d’héritiers. b) Lors de l’audience tenue par la juge de paix le 26 octobre 2018, ils ont réitéré leurs oppositions à la délivrance de certificats d’héritiers en raison des différences entre le pacte successoral précité et le testament de la défunte. [...] a quant à lui confirmé que [...] avait stipulé ses clauses exclusives pour ses quatre enfants dans son pacte successoral car elle ne souhaitait pas que les biens immobiliers parviennent au mari de la défunte, a précisé que les enfants de [...] avaient renoncé à leur droit de préemption afin que la défunte puisse vendre ses biens immobiliers et avaient perçu leur part de la vente des immeubles. A.A.________ a confirmé la raison pour laquelle son frère, sa sœur et lui-même avaient renoncé à leur droit de préemption. B.M.________ et A.M.________ ont, par</w:t>
      </w:r>
    </w:p>
    <w:p>
      <w:r>
        <w:t>- 5 - l’intermédiaire de leur mandataire, indiqué que suite au testament et au codicille de la défunte, une fondation avait été créée et que, d’après ses statuts – modifiés en 2015 – la situation de [...] était entachée d’un conflit d’intérêts au vu du pacte successoral, du testament de la défunte et surtout de sa qualité d’exécuteur testamentaire. A.A.________, E.A.________, B.M.________ et A.M.________ ont demandé à la juge de paix – sans toutefois remettre en cause l'institution d'héritier – de statuer sur la révocation de l'exécuteur testamentaire, sur la désignation d'un administrateur officiel et sur l'établissement d'un inventaire civil. Concernant ce dernier point, ils ont expliqué que leurs droits pourraient être lésés dans la mesure où une partie des biens dépendant de la succession faisait l'objet en leur faveur d'une substitution fidéicommissaire réduite au solde et qu'un inventaire s'imposait pour établir la liste des biens soumis à substitution. c) Par décision du 15 mars 2019, la juge de paix a notamment ordonné l'inventaire conservatoire de la succession d’I.________ (I), a chargé [...] de dresser l'inventaire conservatoire (II), a dit que les frais de l'inventaire, y compris les honoraires de [...], seraient supportés par la succession (III), a révoqué l’exécuteur testamentaire [...] (IV) et a désigné en qualité d'exécuteur testamentaire [...], à défaut [...] (V). S’agissant de l’établissement de l’inventaire civil, le premier juge a considéré qu’A.A.________, E.A.________, B.M.________ et A.M.________ avaient la qualité – en tant qu’héritiers légaux – pour requérir l'inventaire conservatoire et que, compte tenu de la masse successorale, cet inventaire serait délégué à [...] qui avait les compétences nécessaires pour l'établir, aux frais de la succession. d) A.A.________ retiré le recours qu'il avait formé contre la décision du 15 mars 2019. e) [...] étant décédé, [...] a, dans le délai imparti à cet effet, accepté sa mission d’exécuteur testamentaire.</w:t>
      </w:r>
    </w:p>
    <w:p>
      <w:r>
        <w:t>- 6 -</w:t>
      </w:r>
    </w:p>
    <w:p>
      <w:r>
        <w:rPr>
          <w:b/>
        </w:rPr>
        <w:t>E. 3.1</w:t>
      </w:r>
    </w:p>
    <w:p>
      <w:r>
        <w:t>L'inventaire successoral est notamment ordonné lorsqu'un héritier le demande (art.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 3.2.2 ; TF 5A_892/2011 du 21 juin 2012 consid. 5.1.2 ; TF 5A_686/du 28 novembre 2011 consid. 2 ; TF 5P.400/1999 du 25 mai 2000 consid. 5). En l’espèce, la rectification de l'inventaire a été refusée, au motif que l'inventaire n'a pas pour vocation d'établir les biens – connus – soumis à la substitution fidéicommissaire décidée par [...] et qu'il appartiendra aux héritiers, dans le cadre du partage, d'établir quels sont les biens de la défunte grevés par la substitution. Ces biens font précisément l'objet du recours.</w:t>
      </w:r>
    </w:p>
    <w:p>
      <w:r>
        <w:rPr>
          <w:b/>
        </w:rPr>
        <w:t>E. 3.2</w:t>
      </w:r>
    </w:p>
    <w:p>
      <w:r>
        <w:t>Invoquant une constatation manifestement inexacte des faits, les recourants rappellent, ce qui ne figure pas dans la décision entreprise mais ressort du dossier – en particulier de la décision du 15 mars 2019 qui ordonne l'inventaire conservatoire –, que [...] a conclu un pacte successoral concernant sa succession avec ses quatre enfants, soit A.A.________, E.A.________, [...] et I.________. Les recourants sont les héritiers appelés de la</w:t>
      </w:r>
    </w:p>
    <w:p>
      <w:r>
        <w:t>- 11 - substitution fidéicommissaire. Plus précisément, [...] avait laissé à sa fille I.________ six parts de propriétés par étage sises à [...] et ces parts ont fait l'objet d'une substitution fidéicommissaire en faveur des autres enfants ou de leurs descendants en cas de prédécès. [...] est décédée ; B.M.________ et A.M.________ sont ses filles. Les dispositions testamentaires d'I.________ font fi de la substitution fidéicommissaire instaurée par [...]. Les recourants se sont opposés au testament ainsi qu'à la délivrance du certificat d'héritier. L'inventaire officiel a été ordonné dans ce contexte. Dans la mesure où cet état de fait permet de comprendre les griefs des recourants, il en est fait état à ce titre, étant néanmoins rappelé que tout fait nouveau est irrecevable, au sens de l'art. 326 CPC, appliqué à titre supplétif. Dans le cadre de la procédure de recours, les recourants font valoir que l'existence d'une substitution fidéicommissaire devait figurer à l'inventaire, de même que les biens acquis en remploi et le solde des liquidités issu de ces ventes. A défaut, l'inventaire soumis à la justice de paix est en contradiction flagrante avec la situation effective. Il ne faut pas perdre de vue que l'inventaire a pour vocation de figer la situation patrimoniale telle qu'elle apparaît au jour du décès, à des fins conservatoires. Déterminer si certains biens objet de l'inventaire sont grevés par la substitution fidéicommissaire ne relève pas de la tâche dévolue à l'expert chargé d'établir l'inventaire litigieux. A ce titre, il y a lieu de confirmer l'appréciation du premier juge, selon lequel il reviendra aux héritiers, dans le cadre du partage, d'établir quels sont les biens de la défunte grevés par la substitution. Cette appréciation se justifie d'autant plus que les recourants ne prétendent pas que les biens concernés par la substitution fidéicommissaire seraient absents de l'inventaire, mais prétendent simplement que ces éléments auraient dû apparaître de manière séparée. On ne saurait donc dire, avec les recourants, que pour cette raison « l'inventaire remis par la justice de paix est manifestement inexact ».</w:t>
      </w:r>
    </w:p>
    <w:p>
      <w:r>
        <w:t>- 12 -</w:t>
      </w:r>
    </w:p>
    <w:p>
      <w:r>
        <w:rPr>
          <w:b/>
        </w:rPr>
        <w:t>E. 3.3</w:t>
      </w:r>
    </w:p>
    <w:p>
      <w:r>
        <w:t>Les recourants reviennent ensuite sur le montant de 80'000 fr., répertorié dans les passifs successoraux, au motif qu'il est plus que douteux que [...], exécuteur testamentaire, ait eu contre la défunte une créance de 80'000 fr., ce montant ne pouvant pas correspondre à ses tâches d'exécuteur testamentaire, étant donné qu'il n'avait pas encore pris ses activités à la date du décès. Encore une fois, il ne revient pas à l'expert chargé de l'inventaire d'établir le fondement des créances, respectivement des dettes inventoriées. Or, c'est précisément du fondement de la créance invoquée dont il s'agit ici. On rappellera aussi que l'inventaire a un caractère provisoire. En outre, sous « frais divers », l'inventaire mentionne un certain nombre de frais qui ne pouvaient être effectifs au jour du décès (soit le 20 juin 2018), comme les frais de pompes funèbres du 25 juin 2018, sans que ces rubriques aient fait l'objet d'une contestation ou plus précisément d'un grief du recours. On ne décèle dès lors aucune constatation manifestement inexacte des faits.</w:t>
      </w:r>
    </w:p>
    <w:p>
      <w:r>
        <w:rPr>
          <w:b/>
        </w:rPr>
        <w:t>E. 4</w:t>
      </w:r>
    </w:p>
    <w:p>
      <w:r>
        <w:t>Sous l'angle de la violation du droit, les recourants citent un arrêt de la Chambre de céans, dont ils reproduisent l’extrait suivant : « La substitution fidéicommissaire permet notamment au disposant de faire profiter certaines personnes de sa succession, sans que les biens attribués échoient aux héritiers du grevé (à sa mort) ou que le grevé puisse prendre des dispositions testamentaires au sujet de ces biens. Ainsi les héritiers du grevé, y compris réservataires, n’ont aucun droit sur ces biens, qui ne font pas partie de la succession du grevé mais appartiennent, dès l’ouverture de cette succession, à l’héritier appelé « (CREC 18 juin 2015/226, consid. 3b/bb). Quoi qu'en pensent les recourants, il n'appartient pas au juge de la procédure gracieuse de trancher la question liée à la substitution fidéicommissaire, cette tâche étant de la compétence du juge ordinaire en</w:t>
      </w:r>
    </w:p>
    <w:p>
      <w:r>
        <w:t>- 13 - procédure contradictoire, au vu des implications au fond qu'elle engendre. Une telle mission va bien au-delà du juge de la procédure gracieuse, ce que relève d'ailleurs l'arrêt CREC (consid. 3c) cité par les recourants à l'appui de leur argumentation. Ceci permet encore une fois de confirmer l'appréciation du premier juge.</w:t>
      </w:r>
    </w:p>
    <w:p>
      <w:r>
        <w:rPr>
          <w:b/>
        </w:rPr>
        <w:t>E. 5</w:t>
      </w:r>
    </w:p>
    <w:p>
      <w:r>
        <w:t>En dernier lieu, les recourants se plaignent d'une violation de leur droit d'être entendus, au motif qu'ils n'ont pas eu l'occasion de se déterminer sur l'inventaire communiqué par la justice de paix, dite autorité l'ayant communiqué en mentionnant qu'il « a valeur d'inventaire civil au sens de l'art. 553 CC ». Ils se plaignent aussi de la non- transmission des pièces justificatives utiles. Force est toutefois de constater que les recourants ont bien eu l'occasion de se déterminer sur cet inventaire, puisqu'ils ont pu requérir du premier juge une rectification de cet inventaire et qu'ils ont en outre été en mesure de faire valoir leur argumentation devant la Chambre de céans. On ne saurait donc dire que le vice est grave, dès lors qu'il a pu être réparé dans l'intervalle. On ajoutera encore que si le conseil des recourants s’est plaint, par courrier du 12 août 2019 à la juge de paix, de ce que l’inventaire ne figurait pas dans le dossier dont il avait levé copie, il en a toutefois requis la communication uniquement afin de pouvoir « conseiller [son] client [ndr : A.A.________] dans le cadre d’une éventuelle action en pétition d’hérédité ». Il paraît dès lors contraire aux règles de la bonne foi (art. 52 CPC) de se prévaloir de ce défaut de communication au stade du recours contre la décision du 14 août 2019, ce à plus forte raison que les recourants ont été parfaitement en mesure de faire valoir leurs griefs dans le présent recours. Mal fondé, le moyen tiré d’une violation du droit d’être entendu doit dès lors également être rejeté.</w:t>
      </w:r>
    </w:p>
    <w:p>
      <w:r>
        <w:t>- 14 -</w:t>
      </w:r>
    </w:p>
    <w:p>
      <w:r>
        <w:rPr>
          <w:b/>
        </w:rPr>
        <w:t>E. 6</w:t>
      </w:r>
    </w:p>
    <w:p>
      <w:r>
        <w:t>En conclusion, le recours, manifestement mal fondé, doit être rejeté en application de l'art. 322 al. 1 CPC et la décision attaquée confirmée. Les frais judiciaires de deuxième instance, arrêtés à 1'000 fr. (art. 74 al. 1 TFJC [Tarif des frais judiciaires civils du 28 septembre 2010 ; BLV 270.11.5]), seront mis à la charge des recourants, qui succombent, solidairement entre eux (art. 106 al. 1 et 3 CPC). Par ces motifs, la Chambre des recours civile du Tribunal cantonal, en application de l'art. 322 al. 1 CPC, prononce : I. Le recours est rejeté. II. La décision est confirmée. III. Les frais judiciaires de deuxième instance, arrêtés à 1'000 fr. (mille francs), sont mis à la charge des recourants A.A.________, E.A.________, B.M.________ et A.M.________, solidairement entre eux. IV. L’arrêt est exécutoire. Le président : Le greffier : Du</w:t>
      </w:r>
    </w:p>
    <w:p>
      <w:r>
        <w:t>- 15 - L'arrêt qui précède, dont la rédaction a été approuvée à huis clos, est notifié à : - Me Elie Elkaim (pour A.A.________, E.A.________, B.M.________ et A.M.________), - Fondation [...], - [...], exécuteur testamentaire.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