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ST17.007524 vom 15. März 2018</w:t>
      </w:r>
    </w:p>
    <w:p>
      <w:r>
        <w:t>VD Tribunal cantonal, 2018-03-15, FR</w:t>
      </w:r>
    </w:p>
    <w:p>
      <w:r>
        <w:rPr>
          <w:b/>
        </w:rPr>
        <w:t xml:space="preserve">Quelle: </w:t>
      </w:r>
      <w:r>
        <w:t>https://mcp.opencaselaw.ch/entscheid/vd_gerichte_ST17.007524</w:t>
      </w:r>
    </w:p>
    <w:p>
      <w:r>
        <w:t>FR: VD_GERICHTE ST17.007524 du 15 mars 2018</w:t>
      </w:r>
    </w:p>
    <w:p>
      <w:r>
        <w:t>IT: VD_GERICHTE ST17.007524 del 15 marzo 2018</w:t>
      </w:r>
    </w:p>
    <w:p>
      <w:pPr>
        <w:pStyle w:val="Heading2"/>
      </w:pPr>
      <w:r>
        <w:t>Erwägungen</w:t>
      </w:r>
    </w:p>
    <w:p>
      <w:r>
        <w:rPr>
          <w:b/>
        </w:rPr>
        <w:t>E. 1</w:t>
      </w:r>
    </w:p>
    <w:p>
      <w:r>
        <w:t>a) B.B.________ est décédé le 12 février 2017. Ses héritiers sont ses enfants A.B.________, C.B.________, D.B.________ et E.B.________, ainsi que son épouse W.________. b) Le 18 octobre 2017, la juge de paix a adressé un projet d’inventaire successoral à l’exécuteur testamentaire S.________ (ci-après : l’exécuteur testamentaire). Ce projet faisait suite à la demande de E.B.________ visant à l’établissement d’un inventaire conservatoire (art. 553 al. 1 ch. 3 CC). Par courrier du 30 octobre 2017, l’exécuteur testamentaire a indiqué à la juge de paix qu’il avait transmis le projet d’inventaire aux conseils des héritiers et qu’il attendait leurs déterminations. c) Le 1er décembre 2017, A.B.________, C.B.________, D.B.________ et E.B.________ ont indiqué à l’exécuteur testamentaire que, selon eux, une détermination sur le projet d’inventaire n’était pas possible, puisqu’il ne distinguait pas entre les biens propres et les biens communs des époux et qu’il ne prenait pas en compte les récompenses entre les masses. d) Par courrier du 12 décembre 2017, l’exécuteur testamentaire a fait part de sa position et de celle des conseils des héritiers à la juge de paix concernant le projet d’inventaire. Un tableau provisoire et le courrier du 1er décembre 2017 précité étaient notamment annexés à ce courrier. En substance, l’exécuteur testamentaire a considéré que le projet d’inventaire du 18 octobre 2017 présentait les caractéristiques d’un</w:t>
      </w:r>
    </w:p>
    <w:p>
      <w:r>
        <w:t>- 5 - inventaire successoral, mais qu’il allait au-delà des exigences d’un inventaire conservatoire. Il a précisé qu’après l’examen des avis des conseils des héritiers, il avait pu constater qu’un consensus se dégageait concernant l’établissement d’un inventaire conservatoire, en ce sens que la distinction entre les biens propres du de cujus et les biens communs, ainsi que les autres spécificités du contrat de mariage, notamment les récompenses entre masses, devaient être établies. Les deux parties, soit d’une part W.________, et d’autre part A.B.________, C.B.________, D.B.________ et E.B.________, étaient d’avis qu’une distinction devait être faite à ce stade déjà entre les différents biens dans l’allocation des dettes. Il a indiqué avoir établi un « tableau provisoire de l'allocation des actifs », en prenant en compte les « passifs y afférant », en tenant compte des particularités du contrat de mariage et du pacte successoral et après analyse des avis des conseils des parties. Au pied de son courrier, l’exécuteur testamentaire a demandé à la juge de paix d’établir définitivement l'inventaire conservatoire en tenant compte des avis de ses confrères et du tableau. Il a précisé qu’il s’attendait à ce qu’elle porte cet inventaire conservatoire à la connaissance des héritiers et de l'administration fiscale, à laquelle il incombe de tenir compte également des dettes successorales.</w:t>
      </w:r>
    </w:p>
    <w:p>
      <w:r>
        <w:rPr>
          <w:b/>
        </w:rPr>
        <w:t>E. 1.1</w:t>
      </w:r>
    </w:p>
    <w:p>
      <w:r>
        <w:t>L’inventaire successoral est une mesure de sûreté, régie par les art. 553 CC et 117 CDPJ (Code de droit privé judiciaire vaudois du 12 janvier 2010 ; RSV 211.02), qui relève de la de la juridiction gracieuse (cf. CDPJ, section II). Il est notamment ordonné lorsqu'un héritier le demande (art. 553 al. 1 ch. 3 CC). L'inventaire est dressé conformément à la législation cantonale et, en règle générale, dans les deux mois à compter du décès (art. 553 al. 2 CC). Son établissement a pour but de déterminer la consistance du patrimoine du défunt à l’ouverture de la succession ; de caractère provisoire, l’inventaire a aussi une fonction de preuve et tend à assurer la dévolution de l’hérédité, à savoir éviter que des biens ne disparaissent entre l’ouverture de la succession et le partage (TF 5A_434/2012 du 18 décembre 2012 consid. 3.2.2 ; TF 5A_892/2011 du 21 juin 2012 consid. 5.1.2 ; TF 5A_686/du 28 novembre 2011 consid. 2 ; TF 5P.400/1999 du 25 mai 2000 consid. 5). Pour toutes les affaires gracieuses, il est statué conformément aux art. 104 à 109 CDPJ (art. 111 CDPJ), l'art. 104 CDPJ disposant que le CPC (Code de procédure civile du 19 décembre 2008 ; RS 272) est applicable à titre supplétif. L'inventaire successoral étant régi par la procédure sommaire, le recours, écrit et motivé, doit être introduit dans les dix jours, à compter de la notification de la décision motivée, auprès de l'instance de recours (art. 321 al. 1 et 2 CPC), soit, en l'occurrence, la Chambre des recours civile (art. 73 al. 1 LOJV [loi d'organisation judiciaire du 12 décembre 1979 ; RS 173.01]). La jurisprudence vaudoise antérieure au 1er janvier 2011, qui reste d'actualité, subordonne l'ouverture d'un recours contre le contenu d'un inventaire civil à une demande de rectification préalable (CREC 1er</w:t>
      </w:r>
    </w:p>
    <w:p>
      <w:r>
        <w:t>- 7 - mai 2015/164 ; CREC 3 mai 2013/130 ; CREC 27 avril 2012/160 ; JdT 1983 III 114 consid. 5).</w:t>
      </w:r>
    </w:p>
    <w:p>
      <w:r>
        <w:rPr>
          <w:b/>
        </w:rPr>
        <w:t>E. 1.3</w:t>
      </w:r>
    </w:p>
    <w:p>
      <w:r>
        <w:t>En l’espèce, le recours a été formé en temps utile par des parties ayant un intérêt digne de protection (art. 59 al. 2 let. a CPC). Il conviendra d’examiner si le recours a été formé après le traitement d’une requête de rectification pour statuer sur sa recevabilité (cf. infra consid. 3.3).</w:t>
      </w:r>
    </w:p>
    <w:p>
      <w:r>
        <w:rPr>
          <w:b/>
        </w:rPr>
        <w:t>E. 2</w:t>
      </w:r>
    </w:p>
    <w:p>
      <w:r>
        <w:t>a) Le 20 février 2018, W.________ a adressé une requête de rectification de l’inventaire à la juge de paix. b) Le 22 février 2018, A.B.________, C.B.________, D.B.________ et E.B.________ ont également adressé une requête de rectification de l’inventaire à la juge de paix. c) Par avis du 1er mars 2018, la juge de paix a informé A.B.________, C.B.________, D.B.________ et E.B.________ qu’elle traiterait leur requête une fois que le dossier transmis à la Chambre de céans lui serait retourné.</w:t>
      </w:r>
    </w:p>
    <w:p>
      <w:r>
        <w:t>- 6 - En d roit : 1.</w:t>
      </w:r>
    </w:p>
    <w:p>
      <w:r>
        <w:rPr>
          <w:b/>
        </w:rPr>
        <w:t>E. 2.1</w:t>
      </w:r>
    </w:p>
    <w:p>
      <w:r>
        <w:t>Le recours peut être formé pour violation du droit (art. 320 let. a CPC) et constatation manifestement inexacte des faits (art. 320 let. b CPC). L'autorité de recours dispose d'un plein pouvoir d'examen s'agissant de la violation du droit (Spühler, Basler Kommentar, 2010, n. 12 ad art. 319 CPC).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w:t>
      </w:r>
    </w:p>
    <w:p>
      <w:r>
        <w:rPr>
          <w:b/>
        </w:rPr>
        <w:t>E. 2.2</w:t>
      </w:r>
    </w:p>
    <w:p>
      <w:r>
        <w:t>A teneur de l’art. 326 al. 1 CPC, les conclusions, les allégations de fait et les preuves nouvelles sont irrecevables en procédure de recours. En l’espèce, la pièce 1 est recevable, s’agissant d’une pièce de forme. Toutefois, les pièces 2 et 3 sont irrecevables, dès lors qu’elles sont postérieures à la décision entreprise.</w:t>
      </w:r>
    </w:p>
    <w:p>
      <w:r>
        <w:rPr>
          <w:b/>
        </w:rPr>
        <w:t>E. 3.1</w:t>
      </w:r>
    </w:p>
    <w:p>
      <w:r>
        <w:t>Il convient d'examiner si le recours a été formé après traitement d'une requête de rectification, conformément à la</w:t>
      </w:r>
    </w:p>
    <w:p>
      <w:r>
        <w:t>- 8 - jurisprudence vaudoise (JdT 1983 III 114), soit s'il est recevable à cet égard.</w:t>
      </w:r>
    </w:p>
    <w:p>
      <w:r>
        <w:rPr>
          <w:b/>
        </w:rPr>
        <w:t>E. 3.2</w:t>
      </w:r>
    </w:p>
    <w:p>
      <w:r>
        <w:t>A.B.________, C.B.________, D.B.________ et E.B.________ (ci- après : les recourants) sont d’avis que la jurisprudence vaudoise précitée ne serait applicable que lorsque la Justice de paix ne notifie pas directement l'inventaire final mais qu'elle laisse la possibilité aux parties de lui faire part de ses déterminations. Ce raisonnement n'est pas aisé à suivre, puisque les recourants reprochent par ailleurs à la juge de paix de ne pas leur avoir notifié un nouveau projet d'inventaire final après traitement des requêtes de rectification et après l'octroi de délais de déterminations, compte tenu de l'écart existant entre le projet d'inventaire du 18 octobre 2017 et l'inventaire civil du 9 février 2018. Les recourants font ainsi valoir que la juge de paix avait soumis un projet d'inventaire à l'exécuteur testamentaire par courrier du 10 (recte : 18) octobre 2017. A cette occasion, ils auraient signalé, par l’intermédiaire de l’exécuteur testamentaire, qu’ils ne pouvaient pas prendre concrètement position sur le projet, puisqu’il ne distinguait pas les biens propres des biens communs des époux et qu'il n'avait pas pris en compte les récompenses entre les masses matrimoniales. Les recourants semblent se distancer des déterminations du 12 décembre 2017 de l’exécuteur testamentaire, qui représenteraient uniquement ses déterminations, et relèvent qu'ils avaient souligné par l'entremise de l’exécuteur testamentaire qu'ils ne pouvaient pas prendre concrètement position, compte tenu du nombre d'informations manquantes. Les recourants expliquent également avoir adressé une requête de rectification à la juge de paix, d'une part, et avoir déposé le présent recours pour sauvegarder leurs droits, en particulier le délai de recours, d'autre part. Ils soulèvent encore, dans ce contexte, le grief de la violation du droit d'être entendu qui justifierait l'annulation de la décision attaquée, au vu du pouvoir d'examen limité de la Chambre de céans.</w:t>
      </w:r>
    </w:p>
    <w:p>
      <w:r>
        <w:t>- 9 -</w:t>
      </w:r>
    </w:p>
    <w:p>
      <w:r>
        <w:rPr>
          <w:b/>
        </w:rPr>
        <w:t>E. 3.3</w:t>
      </w:r>
    </w:p>
    <w:p>
      <w:r>
        <w:t>En l’espèce, les recourants ont adressé une requête de rectification à la juge de paix le 22 février 2018. Par avis du 1er mars 2018, la juge de paix leur a indiqué qu’au vu du recours déposé parallèlement, elle traiterait leur requête dès que le dossier lui serait retourné. Elle n’a ainsi pour l’heure pas donné suite à leur requête. Au vu du refus initial du premier juge de traiter la requête de rectification, le présent recours est recevable, quand bien même il n’a pas été adressé à la Chambre de céans après le traitement de la requête en question (cf. supra consid. 3.1). Par conséquent et dès lors que la juge de paix s'est déclarée prête à traiter la requête de rectification de l'inventaire, le présent recours doit être admis, la décision annulée et le dossier de la cause doit être renvoyé au premier juge (art. 327 al. 3 let. a CPC) pour qu'il statue sur ladite requête, conformément du reste à la jurisprudence vaudoise précitée.</w:t>
      </w:r>
    </w:p>
    <w:p>
      <w:r>
        <w:rPr>
          <w:b/>
        </w:rPr>
        <w:t>E. 4</w:t>
      </w:r>
    </w:p>
    <w:p>
      <w:r>
        <w:t>Au vu de l'issue du recours, il n'y a pas lieu d'examiner plus avant les autres griefs soulevés, en particulier la prétendue violation du droit d'être entendu des recourants. Par ailleurs, la requête en suspension de cause, pour autant que recevable (cf. art. 326 CPC), est sans objet.</w:t>
      </w:r>
    </w:p>
    <w:p>
      <w:r>
        <w:rPr>
          <w:b/>
        </w:rPr>
        <w:t>E. 5</w:t>
      </w:r>
    </w:p>
    <w:p>
      <w:r>
        <w:t>Les frais judiciaires de deuxième instance, arrêtés à 3'000 fr. (art. 74 al. 2 TFJC), seront laissés à la charge de l'Etat (cf. art. 107 al. 2 CPC). En juridiction gracieuse, il n'y a pas formellement de partie intimée à la procédure, de sorte qu'il n'était pas nécessaire de requérir des déterminations de W.________ ni du reste de l'exécuteur testamentaire S.________ (cf. CREC 12 juillet 2012/251 consid. 3). Il n’y a pas matière à l’allocation de dépens, puisque l’on ne saurait ici considérer l’Etat comme une partie adverse (Tappy, CPC commenté, 2011, n. 34 ad art. 107 CPC).</w:t>
      </w:r>
    </w:p>
    <w:p>
      <w:r>
        <w:t>- 10 - Par ces motifs, la Chambre des recours civile du Tribunal cantonal, prononce : I. Le recours est admis. II. La décision est annulée et la cause est renvoyée à la Juge de paix du district de Morges pour nouvelle décision dans le sens des considérants. III. Les frais judiciaires de deuxième instance, arrêtés à 3'000 fr. (trois mille francs), sont laissés à la charge de l'Etat. IV. L’arrêt est exécutoire. Le président : La greffière : Du L'arrêt qui précède, dont la rédaction a été approuvée à huis clos, est notifié à : - Me François Roux (pour A.B.________, C.B.________, D.B.________ et E.B.________), - Me Christophe de Kalbermatten (pour W.________), - Me S.________. La Chambre des recours civile considère que la valeur litigieuse est supérieure à 30’000 francs.</w:t>
      </w:r>
    </w:p>
    <w:p>
      <w:r>
        <w:t>- 11 -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