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ST17.000798 vom 25. Oktober 2017</w:t>
      </w:r>
    </w:p>
    <w:p>
      <w:r>
        <w:t>VD Tribunal cantonal, 2017-10-25, FR</w:t>
      </w:r>
    </w:p>
    <w:p>
      <w:r>
        <w:rPr>
          <w:b/>
        </w:rPr>
        <w:t xml:space="preserve">Quelle: </w:t>
      </w:r>
      <w:r>
        <w:t>https://mcp.opencaselaw.ch/entscheid/vd_gerichte_ST17.000798</w:t>
      </w:r>
    </w:p>
    <w:p>
      <w:r>
        <w:t>FR: VD_GERICHTE ST17.000798 du 25 octobre 2017</w:t>
      </w:r>
    </w:p>
    <w:p>
      <w:r>
        <w:t>IT: VD_GERICHTE ST17.000798 del 25 ottobre 2017</w:t>
      </w:r>
    </w:p>
    <w:p>
      <w:pPr>
        <w:pStyle w:val="Heading2"/>
      </w:pPr>
      <w:r>
        <w:t>Erwägungen</w:t>
      </w:r>
    </w:p>
    <w:p>
      <w:r>
        <w:rPr>
          <w:b/>
        </w:rPr>
        <w:t>E. 1</w:t>
      </w:r>
    </w:p>
    <w:p>
      <w:r>
        <w:t>Par décision du 9 octobre 2017, la Juge de paix du district de Lausanne a informé W.________ qu’elle avait procédé à la détermination des héritiers de la succession de G.________ et qu’il figurait sur le certificat d’héritier. Le certificat d’héritier était joint en annexe.</w:t>
      </w:r>
    </w:p>
    <w:p>
      <w:r>
        <w:rPr>
          <w:b/>
        </w:rPr>
        <w:t>E. 2</w:t>
      </w:r>
    </w:p>
    <w:p>
      <w:r>
        <w:t>Il ressort du certificat d’héritier que W.________ est le seul héritier légal et institué de feu G.________.</w:t>
      </w:r>
    </w:p>
    <w:p>
      <w:r>
        <w:rPr>
          <w:b/>
        </w:rPr>
        <w:t>E. 3</w:t>
      </w:r>
    </w:p>
    <w:p>
      <w:r>
        <w:t>Le 19 octobre 2017, W.________ a, par la société [...], interjeté recours contre la décision susmentionnée, en concluant à ce que les dispositions produites sous forme de photocopies soient annulées (1) et à ce que la Justice de paix soit enjointe de modifier le certificat d’héritier en précisant exclusivement que W.________ est l’héritier légal de G.________ (2). Il a produit une série de pièces, recevables, dès lors qu’elles figuraient déjà au dossier de première instance.</w:t>
      </w:r>
    </w:p>
    <w:p>
      <w:r>
        <w:rPr>
          <w:b/>
        </w:rPr>
        <w:t>E. 4.1.1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Dans le canton de Vaud, l'appel aux héritiers et le certificat d'héritier sont régis par les art. 126 et 133 ss CDPJ. Les art. 104 à 109 CDPJ s'appliquent par renvoi de l'art. 111 CDPJ. Le CPC (Code de procédure</w:t>
      </w:r>
    </w:p>
    <w:p>
      <w:r>
        <w:t>- 3 -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1er septembre 2014/302 ; CREC 9 mai 2014/203 ; CREC 17 avril 2014/143). Le certificat d'héritier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(Code civil suisse du 10 décembre 1907 ; RS 210), mais aussi en réduction ou en constatation d'inexistence ou de nullité du testament. Sa délivrance n'est précédée d'aucune analyse de la situation de droit matériel et il peut au besoin être corrigé en tout temps (Steinauer, op. cit., n. 902, pp. 482-483 et les réf. citées).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w:t>
      </w:r>
    </w:p>
    <w:p>
      <w:r>
        <w:rPr>
          <w:b/>
        </w:rPr>
        <w:t>E. 4.1.2</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w:t>
      </w:r>
    </w:p>
    <w:p>
      <w:r>
        <w:t>- 4 - L'existence d'un intérêt du recourant est une condition de recevabilité de tout recours, cet intérêt devant être juridique et non de fait (art. 59 al. 2 let. a CPC ; ATF 127 III 429 consid. 1b ; ATF 120 II 7 consid. 2a ; ATF 118 II 108 consid. 2c ; JdT 2001 III 13).</w:t>
      </w:r>
    </w:p>
    <w:p>
      <w:r>
        <w:rPr>
          <w:b/>
        </w:rPr>
        <w:t>E. 4.2</w:t>
      </w:r>
    </w:p>
    <w:p>
      <w:r>
        <w:t>En l’espèce, le recours a été interjeté en temps utile, de sorte qu’il est recevable à cet égard. La conclusion tendant à l’annulation des dispositions produites sous forme de photocopies est irrecevable, dès lors que la question de la validité formelle du testament est une question de droit matériel qui n’a pas à être examinée par le juge de la juridiction gracieuse. Quant à la conclusion tendant à la modification du certificat d’héritier, elle n’est pas irrecevable en tant que telle, mais le recourant n’a aucun intérêt juridique à la modification sollicitée. Il importe en effet peu qu’il soit héritier légal ou institué, du moment qu’il figure sur le certificat. En l’absence d’intérêt juridiquement protégé, le recours est également irrecevable sur ce point (art. 59 al. 2 let. a CPC). Dès lors qu’aucune des conclusions du recourant n’est recevable, le recours doit être considéré comme irrecevable.</w:t>
      </w:r>
    </w:p>
    <w:p>
      <w:r>
        <w:rPr>
          <w:b/>
        </w:rPr>
        <w:t>E. 5</w:t>
      </w:r>
    </w:p>
    <w:p>
      <w:r>
        <w:t>A supposer recevable, un délai aurait dû être imparti au recourant pour corriger le vice qui entache son acte (cf. Juge délégué CREC 28 janvier 2015/52). En effet, le recours a été adressé à la Chambre de céans par une société, alors que la liste des représentants professionnels figurant à l’art. 68 al. 2 CPC est exhaustive, sur laquelle les personnes morales ne figurent pas (Staehelin/Schweizer, Kommentar zur Schweizerischen Zivilprozessordnung, Sutter- Somm/Hasenböhler/Leuenberger Hrsg, 2e éd., 2013, n. 7 ad art. art. 68 CPC, p. 563). Les actes accomplis par un représentant professionnel non compris dans la liste de l’art. 68 al. 2 CPC sont dénués d’effet, un délai devant être imparti à la partie pour corriger le vice (TF 4A_87/2012 du 10 avril 2012 c. 3.2.3 in Revue suisse de procédure civile [RSPC] 2012, p. 306 ; JT 2012 III 230 c. 3a/bb ; Staehelin/Schweizer, op. cit., nn. 25 et 26 ad art. 68 CPC, p. 567).</w:t>
      </w:r>
    </w:p>
    <w:p>
      <w:r>
        <w:t>- 5 - Le présent arrêt peut être rendu sans frais judiciaires (art. 52 TFJC [tarif des frais judiciaires civils du 28 septembre 2010 ; RSV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 – [...]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