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ST16.044778 vom 24. November 2017</w:t>
      </w:r>
    </w:p>
    <w:p>
      <w:r>
        <w:t>VD Tribunal cantonal, 2017-11-24, FR</w:t>
      </w:r>
    </w:p>
    <w:p>
      <w:r>
        <w:rPr>
          <w:b/>
        </w:rPr>
        <w:t xml:space="preserve">Quelle: </w:t>
      </w:r>
      <w:r>
        <w:t>https://mcp.opencaselaw.ch/entscheid/vd_gerichte_ST16.044778</w:t>
      </w:r>
    </w:p>
    <w:p>
      <w:r>
        <w:t>FR: VD_GERICHTE ST16.044778 du 24 novembre 2017</w:t>
      </w:r>
    </w:p>
    <w:p>
      <w:r>
        <w:t>IT: VD_GERICHTE ST16.044778 del 24 novembre 2017</w:t>
      </w:r>
    </w:p>
    <w:p>
      <w:pPr>
        <w:pStyle w:val="Heading2"/>
      </w:pPr>
      <w:r>
        <w:t>Erwägungen</w:t>
      </w:r>
    </w:p>
    <w:p>
      <w:r>
        <w:rPr>
          <w:b/>
        </w:rPr>
        <w:t>E. 13</w:t>
      </w:r>
    </w:p>
    <w:p>
      <w:r>
        <w:t>novembre 2017, qui est nouvelle et, partant, irrecevable. 3.</w:t>
      </w:r>
    </w:p>
    <w:p>
      <w:r>
        <w:t>- 8 - 3.1 Les recourants font grief au premier juge de s’être déclaré incompétent pour connaître de la succession de feu leur père en soutenant que ce dernier était domicilié en Suisse lors de son décès. Ils se prévalent à cet égard des diverses pièces dans lesquelles le défunt indiquait son adresse à Villars, soit notamment ses cartes de visite, les correspondances avec la banque et celles concernant l’appartement de Kuala Lumpur. Ils font également valoir que leur père consultait des médecins en Suisse, qu’il y disposait d’un véhicule ainsi que d’un abonnement demi-tarif et qu’il était membre de la [...]. Selon eux, les éléments précités établiraient que l’intéressé avait le centre de ses intérêts en Suisse. Ils relèvent en outre que feu A.R.________ n’avait pas davantage de famille en Malaisie qu’il n’en avait à Villars, où il était toutefois proche de ses amis ainsi que de son fils et son petit-fils vivant en Angleterre. Enfin, ils soutiennent que, dans son testament rédigé en 2009, le défunt appelait son chalet de Villars « son foyer » et qu’il manifestait le souhait d’être enterré dans cette commune. L’intimée relève pour sa part qu’il convient de tenir compte de l’évolution de la situation personnelle de feu A.R.________. En effet, si elle admet que dans son testament rédigé en 2009, l’intéressé exprimait son souhait de finir ses jours en Suisse, ce document a été rédigé 7 ans avant son décès et ne tiendrait pas compte de ce qui s’est passé ensuite. Elle relève que l’essentiel des documents produits par les recourants seraient antérieurs à 2010, sous réserve de quelques avis de virements remontant jusqu’en 2013 et d’une facture datant de 2015, ce qui établirait le peu de liens concrets qu’avait le de cujus avec la Suisse. Selon elle, depuis 2013 à tout le moins, A.R.________ avait pris ses dispositions pour s’installer en Malaisie définitivement, ce qui serait attesté par sa participation au programme « Malaysia my second home », qui prévoirait non pas une résidence secondaire mais une résidence principale pour des personnes étrangères disposant d’une certaine aisance financière et pouvant bénéficier d’exemption d’impôts sur plusieurs années. 3.2 Aux termes de l’art. 86 al. 1 LDIP (loi fédérale sur le droit international privé du 18 décembre 1987 ; RS 291), les autorités</w:t>
      </w:r>
    </w:p>
    <w:p>
      <w:r>
        <w:t>- 9 - judiciaires ou administratives suisses du dernier domicile du défunt sont compétentes pour prendre les mesures nécessaires au règlement de la succession. Le domicile est déterminé selon les critères prévus par l'art. 20 al. 1 let. a LDIP, dont la teneur correspond à celle de l'art. 23 al. 1 CC. La notion de domicile comporte deux éléments: l'un objectif, la présence physique en un lieu donné; l'autre subjectif, l'intention d'y demeurer durablement (ATF 137 II 122 consid. 3.6 ; ATF 137 Ill 593 consid. 3.5 ; ATF 136 11 405 consid. 4.3 ; ATF 135 Ill 49 consid. 6.2). L'élément objectif du domicile consiste en la présence physique en un endroit donné. Il ne suppose pas nécessairement que le séjour ait déjà duré un certain temps ; si la condition subjective, à savoir la manifestation de l'intention de rester durablement en ce lieu, est par ailleurs remplie, la constitution d'un domicile peut se produire dès l'arrivée dans le nouveau pays de séjour ; en d'autres termes, pour déterminer si l'intéressé s'y est créé un domicile, ce n'est pas la durée de sa présence à cet endroit qui est décisive, mais bien la perspective d'une telle durée (TF 5A_432/2009 du 23 décembre 2009 consid. 5.2.1; TF 5A_398/2007 du 28 avril 2008 consid. 3.2; TF 5C.163/2005 du 25 août 2005 consid. 4.1; Othenin-Girard, Commentaire de l'arrêt 5A_659/2011, in AJP/PJA 2012/6, pp. 853 ss, spéc. p. 858).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ATF 120 III 7 consid. 2b; 119 II 64 c. 2b/b; TF 5A_659/2011 du 5 avril 2012 consid. 2.2.2; TF 5A_432/2009 du 23 décembre 2009 consid. 5.2.1; Othenin-Girard, op. cit., p. 857 in fine et réf.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w:t>
      </w:r>
    </w:p>
    <w:p>
      <w:r>
        <w:t>- 10 - consid. 2b/bb; TF 5C.163/2005 du 25 août 2005 consid. 4.1 et les réf. citées). 3.3 En l’espèce, les recourants remettent en cause de manière appellatoire la majorité des faits retenus par le premier juge, en se limitant à opposer leur propre version à celle qui a été retenue, ce qui n'est pas admissible dans le cadre d'un recours (cf. supra consid. 2.1). En particulier, ils ne démontrent pas en quoi la prétendue omission de certains faits (notamment les témoignages écrits ainsi que la teneur précise du testament de 2009) serait décisive au point de rendre le résultat auquel parvient la décision attaquée manifestement insoutenable. La critique est ainsi vaine. Les considérations du premier juge, qui ne prêtent pas le flanc à la critique, peuvent au demeurant être confirmées. En effet, après avoir dûment rappelé les éléments pertinents relatifs à l’appartement d’Ollon, le premier juge a considéré que cet appartement s'apparentait à une résidence secondaire, en raison notamment du fait que sa gestion était assurée par une gérance professionnelle qui s'occupait de payer les charges, les assurances, et d'apposer ou de déposer les plaques du véhicule du défunt durant son séjour ou après son départ. Ce constat ne prête pas le flanc à la critique et les recourants ne le contestent d’ailleurs pas. Le premier juge a également relevé que le défunt n'avait aucune famille en Suisse. Les recourants ne le nient pas non plus mais se bornent à opposer que leur père n’avait pas non plus de famille en Malaisie, ignorant ainsi volontairement que sa compagne de longue date était de nationalité malaisienne, qu’elle résidait en Malaisie et que le couple était par ailleurs propriétaire d'immeubles dans ce pays. En outre, on ne peut que constater, à l’instar de ce qu’a retenu le premier juge, que l'attachement du défunt à sa compagne était profond, raison pour laquelle il l'avait instituée héritière unique, que, se sachant très malade, il était reparti la rejoindre en Malaisie après un séjour de deux mois en Suisse et qu'enfin, c'était en Malaisie qu'il était décédé.</w:t>
      </w:r>
    </w:p>
    <w:p>
      <w:r>
        <w:t>- 11 - En définitive, les éléments mis en évidence par le premier juge ne prêtent pas le flanc à la critique et les recourants n'entreprennent pas de démontrer l'arbitraire de cette décision, se contentant de lui opposer leur propre version, ce qui, comme on l’a déjà dit, est irrecevable dans un recours limité au droit. 4. 4.1 Dans un deuxième moyen, les recourants considèrent que les dépens alloués à l'intimée sont excessifs, s'agissant d'une simple question à résoudre, à savoir celle du domicile. Ils ne peuvent toutefois pas être suivis. La détermination du domicile du défunt a nécessité d'importantes investigations, ce qui est attesté par les nombreuses écritures et bordereaux de pièces produits par les parties, et l'on ne peut que constater, du reste, que les dépens ont été fixés dans le cadre de la fourchette de l’art. 6 TDC (tarif des dépens en matière civile du 23 novembre 2010 ; RSV 270.11.6). Le moyen doit être rejeté. 5. 5.1 En définitive, le recours doit être rejeté et la décision entreprise confirmée. 5.2 Les frais judiciaires de deuxième instance, arrêtés à 3'000 fr. (art. 74 al. 2 TFJC [tarif des frais judiciaires civils du 28 septembre 2010 ; RSV 270.11.5]), sont mis à la charge des recourants B.R.________ et C.R.________, solidairement entre eux, dès lors qu’ils succombent (art. 106 al. 1 CPC). 5.3 Au vu de l’issue du litige, les recourants verseront en outre à l’intimée de pleins dépens de deuxième instance, qu’il y a lieu d’arrêter à 2'000 fr. (art. 8 TDC).</w:t>
      </w:r>
    </w:p>
    <w:p>
      <w:r>
        <w:t>- 12 - Par ces motifs, la Chambre des recours civile du Tribunal cantonal, prononce : I. Le recours est rejeté. II. La décision est confirmée. III. Les frais judiciaires de deuxième instance, arrêtés à 3'000 fr. (trois mille francs), sont mis à la charge des recourants B.R.________ et C.R.________, solidairement entre eux. IV. B.R.________ et C.R.________, solidairement entre eux, verseront à N.________ la somme de 2'000 fr. (deux mille francs) à titre de dépens de deuxième instance. V. L’arrêt est exécutoire Le vice-président : La greffière : Du L'arrêt qui précède, dont la rédaction a été approuvée à huis clos, est notifié à : - Me François Logoz (pour B.R.________ et C.R.________), - Me Christian Favre (pour N.________). La Chambre des recours civile considère que la valeur litigieuse est supérieure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