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ST16.000493 vom 28. Juli 2016</w:t>
      </w:r>
    </w:p>
    <w:p>
      <w:r>
        <w:t>VD Tribunal cantonal, 2016-07-28, FR</w:t>
      </w:r>
    </w:p>
    <w:p>
      <w:r>
        <w:rPr>
          <w:b/>
        </w:rPr>
        <w:t xml:space="preserve">Quelle: </w:t>
      </w:r>
      <w:r>
        <w:t>https://mcp.opencaselaw.ch/entscheid/vd_gerichte_ST16.000493</w:t>
      </w:r>
    </w:p>
    <w:p>
      <w:r>
        <w:t>FR: VD_GERICHTE ST16.000493 du 28 juillet 2016</w:t>
      </w:r>
    </w:p>
    <w:p>
      <w:r>
        <w:t>IT: VD_GERICHTE ST16.000493 del 28 luglio 2016</w:t>
      </w:r>
    </w:p>
    <w:p>
      <w:pPr>
        <w:pStyle w:val="Heading2"/>
      </w:pPr>
      <w:r>
        <w:t>Erwägungen</w:t>
      </w:r>
    </w:p>
    <w:p>
      <w:r>
        <w:rPr>
          <w:b/>
        </w:rPr>
        <w:t>E. 1</w:t>
      </w:r>
    </w:p>
    <w:p>
      <w:r>
        <w:t>D.X.________, décédé le 26 décembre 2015, avait institué héritiers ses deux fils, C.X.________ et A.X.________, et son petit-fils B.X.________, enfant de son fils E.X.________, décédé en 1989. Les héritiers sont devenus propriétaires communs de l’appartement de 3 pièces sis [...] à 1860 Aigle, constituant le principal actif de la succession. Ayant habité l’appartement en question du 1er juillet 2007 jusqu’au 31 décembre 2014, C.X.________ a manifesté fin janvier 2016 l’intention de l’occuper à nouveau sans avoir recueilli l’accord des cohéritiers.</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son art. 109, que « cette disposition ne doit être applicable que si et dans la mesure où une autre disposition législative y renvoie</w:t>
      </w:r>
    </w:p>
    <w:p>
      <w:r>
        <w:t>- 5 -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s'appliquent à titre supplétif (art. 104 al. 1 CDPJ). Le bénéfice d’inventaire étant régi par la procédure sommaire, le recours, écrit et motivé, est introduit dans les dix jours à compter de la notification de la décision motivée auprès de l'instance de recours (art. 321 al. 1 et 2 CPC [Code de procédure civile du 19 décembre 2008 ; RS 272]), soit, en l'occurrence, de la Chambre des recours civile (art. 73 al. 1 LOJV [Loi vaudoise d'organisation judiciaire du 12 décembre 1979 ; RSV 173.01]). S’agissant du contenu d’un inventaire civil, la jurisprudence vaudoise antérieure au 1er janvier 2011 subordonnait l’ouverture d’un recours à une demande de rectification préalable (JT 1983 III 114 consid. 5). La chambre de céans a estimé que cette jurisprudence demeurait d’actualité ensuite de l’entrée en vigueur du CPC au 1er janvier 2011 (CREC 8 août 2014/279 ; CREC 18 octobre 2013/337 ; CREC 3 mai 2013/130 ; CREC 31 août 2012/307 ; CREC 27 avril 2012/160).</w:t>
      </w:r>
    </w:p>
    <w:p>
      <w:r>
        <w:rPr>
          <w:b/>
        </w:rPr>
        <w:t>E. 1.2</w:t>
      </w:r>
    </w:p>
    <w:p>
      <w:r>
        <w:t>En l'espèce, une procédure de rectification est intervenue si bien que le recours déposé dans les 10 jours suivant le refus de rectifier l'inventaire n'est ni prématuré ni tardif. Formé en temps utile, par des parties qui y ont un intérêt digne de protection, soit par deux héritiers du défunt, et après avoir requis la rectification, le recours est recevable.</w:t>
      </w:r>
    </w:p>
    <w:p>
      <w:r>
        <w:t>- 6 - 2.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Les conclusions, les allégations de faits et les preuves nouvelles sont irrecevables (art. 326 al. 1 CPC). 3. Les recourants se prévalent d'une violation de leur droit d'être entendus pour le motif que la décision attaquée ne justifierait pas le refus de leurs réquisitions de rectification.</w:t>
      </w:r>
    </w:p>
    <w:p>
      <w:r>
        <w:t>- 7 -</w:t>
      </w:r>
    </w:p>
    <w:p>
      <w:r>
        <w:rPr>
          <w:b/>
        </w:rPr>
        <w:t>E. 2</w:t>
      </w:r>
    </w:p>
    <w:p>
      <w:r>
        <w:t>Par pli recommandé du 22 janvier 2016, le notaire K.________ a déclaré renoncer au mandat d’exécuteur testamentaire, vu l’existence d’un risque important de conflit d’intérêts.</w:t>
      </w:r>
    </w:p>
    <w:p>
      <w:r>
        <w:rPr>
          <w:b/>
        </w:rPr>
        <w:t>E. 3</w:t>
      </w:r>
    </w:p>
    <w:p>
      <w:r>
        <w:t>Dans le cadre de la procédure de dévolution successorale, C.X.________ a demandé le bénéfice d’inventaire le 25 janvier 2016. Par courrier du même jour, A.X.________ et B.X.________ ont relevé que C.X.________, son ex-épouse et ses enfants avaient bénéficié de gratifications sujettes à rapport et ont produit à ce propos une liste des libéralités dont ils avaient connaissance. En outre, ils ont requis la pose de scellés sur l’appartement à Aigle, dont ils étaient propriétaires communs.</w:t>
      </w:r>
    </w:p>
    <w:p>
      <w:r>
        <w:rPr>
          <w:b/>
        </w:rPr>
        <w:t>E. 3.1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w:t>
      </w:r>
    </w:p>
    <w:p>
      <w:r>
        <w:t>En l’occurrence, le premier juge a motivé, certes brièvement, mais de manière compréhensible et suffisante son refus en indiquant que, de toute manière, l'inventaire ne déployait aucun effet quant aux actifs de la succession et que les créances contre l’héritier C.X.________ n'étaient inventoriées que pour une valeur de 2 fr. en raison de son insolvabilité. En effet, porter ou ne pas porter à l'inventaire des actifs sous la forme de créances dépourvues de valeur économique ne saurait peser sur le choix de chaque héritier d'opter pour l'une des quatre possibilités prévues à l'art. 588 al. 1 CC. La motivation étant ainsi suffisante pour permettre aux intéressés de contester la décision, ce moyen doit être rejeté. 4. Les recourants soutiennent que le premier juge aurait violé le droit et constaté les faits de manière manifestement inexacte en refusant d’inscrire à l’inventaire un certain nombre d’actifs de la succession.</w:t>
      </w:r>
    </w:p>
    <w:p>
      <w:r>
        <w:rPr>
          <w:b/>
        </w:rPr>
        <w:t>E. 4</w:t>
      </w:r>
    </w:p>
    <w:p>
      <w:r>
        <w:t>Par décision du 18 février 2016, la Juge de paix du district d’Aigle a rejeté la requête de C.X.________ tendant à la levée des scellés (I) et maintenu les scellés sur l’appartement à Aigle (II). Cette décision a été confirmée par arrêt de la Chambre des recours civile du 25 avril 2016 (CREC 25 avril 2016/140).</w:t>
      </w:r>
    </w:p>
    <w:p>
      <w:r>
        <w:t>- 4 -</w:t>
      </w:r>
    </w:p>
    <w:p>
      <w:r>
        <w:rPr>
          <w:b/>
        </w:rPr>
        <w:t>E. 4.1</w:t>
      </w:r>
    </w:p>
    <w:p>
      <w:r>
        <w:t>La procédure de bénéfice d'inventaire prévue par les art. 580 ss CC a pour but d'informer les héritiers sur les actifs et leur valeur, ainsi que sur les passifs de la succession, et de leur permettre de limiter leur</w:t>
      </w:r>
    </w:p>
    <w:p>
      <w:r>
        <w:t>- 8 - responsabilité – qui porte également sur leurs biens – aux seules dettes inventoriées (Piotet, Droit successoral, Traité de droit privé suisse, tome IV, Fribourg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les réf. citées). Aux termes de l'art. 581 CC, l'inventaire est dressé par l'autorité compétente selon les règles fixées par la législation cantonale ; il comporte un état de l'actif et du passif de la succession avec estimation de tous les biens (al. 1) ;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4e éd., Bâle 2011, n. 1 ad art. 583 CC). Les créanciers et les débiteurs sont avisés de l'inventaire (art. 583 al. 2 CC). Doivent figurer à l'inventaire tous les actifs appartenant au de cujus au moment de son décès, même ceux qui font l'objet d'une contestation, la revendication étant mentionnée. En revanche, s'agissant d'un droit individuel et non d'un bien successoral, le droit au rapport ou à la réduction de libéralités entre vifs n'est pas porté à l'inventaire (Anouchka Hubert-Froidevaux, Le bénéfice d'inventaire, n° 31 in Journée de droit successoral 2016, Berne 2016, p. 133).</w:t>
      </w:r>
    </w:p>
    <w:p>
      <w:r>
        <w:t>- 9 - Selon la doctrine, l'autorité qui établit l'inventaire n'a pas à se préoccuper du caractère fondé des dettes du défunt portées à l'inventaire, celui-ci n'ayant qu'un effet déclaratif (Wissmann, op. cit., n. 11 ad art. 581 CC). L'inscription du créancier n'est en effet rien d'autre que l'affirmation que ce dernier a contre le de cujus un droit subjectif (Couchepin/Maire, in Commentaire du droit des successions, Berne 2012, n. 12 ad art. 581 CC). La restriction de la responsabilité de l'héritier découlant de l'inventaire ne vaut que pour les dettes de la succession ; l'inventaire ne déploie aucun effet quant aux actifs successoraux (ATF 113 II 118, JT 1988 I 148 ; Wissmann, op. cit., n. 5 ad art. 580-592 CC).</w:t>
      </w:r>
    </w:p>
    <w:p>
      <w:r>
        <w:rPr>
          <w:b/>
        </w:rPr>
        <w:t>E. 4.2</w:t>
      </w:r>
    </w:p>
    <w:p>
      <w:r>
        <w:t>L'inventaire litigieux comporte, dans l'énumération des actifs, sous la rubrique « biens propres du défunt », au chiffre 11 intitulé « Avancement d'hoirie, créance contre l'héritier » le montant de 60'002 francs. Un document intégré à l'inventaire, intitulé « D.X.________ bénéfice d’inventaire au 1.7.2016.xls Avances / prêts », se présente comme il suit : Prêté Montant Taux Nature du bien Date prêt par capitalisé intérêts Bien propre du Défunt 29.04.2005 60'000.00 défunt de 1993 à Bien propre du 2009 Défunt 1.00 défunt CHF 201'000.- - 29.04.2005 Bien propre du Défunt CHF 158'204.- 1.00 défunt - En référence à la précédente mouture de l'inventaire, on comprend que le montant de 60'000 fr. correspond à un prêt à H.________ et que les deux autres montants, estimés chacun à 1 fr., correspondent à des prêts ou des avances à C.X.________.</w:t>
      </w:r>
    </w:p>
    <w:p>
      <w:r>
        <w:t>- 10 - Ne contestant que le montant des actifs inventoriés, les recourants font valoir que les montants reçus du défunt par l’héritier C.X.________ ne sont pas limités aux montants de 201'00 fr. et de 158'204 fr., mais qu'ils devraient totaliser 670'859 fr. 55. Les deux premiers montants ressortent de l'analyse par le premier juge de pièces produites par les recourants lors d'une audience de la Justice de paix du 9 février 2016. En revanche, toujours selon les recourants, le montant supplémentaire serait établi, sans autres précisions, par des pièces remises au Greffe de la Justice de paix par le notaire K.________ le 3 février 2016, lorsque celui-ci a renoncé à sa mission d'exécuteur testamentaire, une quittance non détaillée établissant cette remise de documents. Or le dossier de la cause ne permet ni de comprendre comment les recourants calculent le montant de 670'859 fr. 55 – qu'ils n'expliquent pas et qu'ils ont eux-mêmes qualifié d'estimation –, ni d'identifier les documents provenant du notaire K.________ et censés établir la nature et le montant cette créance. Il en résulte que le montant supplémentaire n'est pas établi par justificatifs et que c'est à bon droit et sans verser dans l’arbitraire que cette rectification n'a pas été effectuée.</w:t>
      </w:r>
    </w:p>
    <w:p>
      <w:r>
        <w:rPr>
          <w:b/>
        </w:rPr>
        <w:t>E. 4.3</w:t>
      </w:r>
    </w:p>
    <w:p>
      <w:r>
        <w:t>Il ressort de la comptabilité du défunt qu'il a régulièrement versé à son ex-belle-fille H.________ des montants mensuels de 600 fr. et de 800 fr. en spécifiant « pension Malou » pour un montant total de 71'400 francs. Les recourants soutiennent qu'il s'agit là de contributions d'entretien que le défunt a versées à la place de C.X.________ et que celui- ci, qui a été enrichi par cette diminution de son passif, devrait rembourser la succession. On ignore pour quels motifs et, le cas échéant, selon quel accord ces versements sont intervenus : avance au débiteur, aide fournie sans contrepartie ni condition par le défunt, reprise de la dette d'entretien (art. 175 ss CO [Code des obligations du 30 mars 1911 ; RS 220]) ou autre construction. Une subrogation n'est pas envisageable, les hypothèses de l'art. 110 CO n'étant pas réalisées. Au vu de ces incertitudes, c'est à juste</w:t>
      </w:r>
    </w:p>
    <w:p>
      <w:r>
        <w:t>- 11 - titre que la prétendue créance en enrichissement illégitime (art. 62 CO) invoquée par les recourants n'a pas été retenue.</w:t>
      </w:r>
    </w:p>
    <w:p>
      <w:r>
        <w:rPr>
          <w:b/>
        </w:rPr>
        <w:t>E. 5</w:t>
      </w:r>
    </w:p>
    <w:p>
      <w:r>
        <w:t>En définitive, le recours doit être rejeté selon le mode procédural de l’art. 322 al. 1 CPC et la décision entreprise confirmée. Les frais judiciaires de deuxième instance, arrêtés à 500 fr. (art. 74 al. 1 TFJC), seront mis solidiairement à la charge des recourants A.X.________ et B.X.________, qui succombent (art. 106 al. 1 et 3 CPC). Il n’est pas alloué de dépens de deuxième instance, dès lors que l’intimé n’a pas été invité à se déterminer. Par ces motifs, la Chambre des recours civile du Tribunal cantonal, prononce : I. Le recours est rejeté. II. La décision est confirmée. III. Les frais judiciaires de deuxième instance, arrêtés à 500 fr. (cinq cents francs), sont mis à la charge des recourants A.X.________ et B.X.________, solidairement entre eux. IV. L’arrêt motivé est exécutoire. Le président : Le greffier :</w:t>
      </w:r>
    </w:p>
    <w:p>
      <w:r>
        <w:t>- 12 - Du 29 juillet 2016 Le dispositif de l'arrêt qui précède est communiqué par écrit aux intéressés. Le greffier : Du L'arrêt qui précède, dont la rédaction a été approuvée à huis clos, est notifié en expédition complète, par l'envoi de photocopies, à : - Me Robin Chappaz (pour A.X.________ et B.X.________), - Me Florian Ducommun (pour C.X.________).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