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ST15.036134 vom 6. Juni 2018</w:t>
      </w:r>
    </w:p>
    <w:p>
      <w:r>
        <w:t>VD Tribunal cantonal, 2018-06-06, FR</w:t>
      </w:r>
    </w:p>
    <w:p>
      <w:r>
        <w:rPr>
          <w:b/>
        </w:rPr>
        <w:t xml:space="preserve">Quelle: </w:t>
      </w:r>
      <w:r>
        <w:t>https://mcp.opencaselaw.ch/entscheid/vd_gerichte_ST15.036134</w:t>
      </w:r>
    </w:p>
    <w:p>
      <w:r>
        <w:t>FR: VD_GERICHTE ST15.036134 du 6 juin 2018</w:t>
      </w:r>
    </w:p>
    <w:p>
      <w:r>
        <w:t>IT: VD_GERICHTE ST15.036134 del 6 giugno 2018</w:t>
      </w:r>
    </w:p>
    <w:p>
      <w:pPr>
        <w:pStyle w:val="Heading2"/>
      </w:pPr>
      <w:r>
        <w:t>Erwägungen</w:t>
      </w:r>
    </w:p>
    <w:p>
      <w:r>
        <w:rPr>
          <w:b/>
        </w:rPr>
        <w:t>E. 1</w:t>
      </w:r>
    </w:p>
    <w:p>
      <w:r>
        <w:t>B.________ est le fils adoptif de feu N.________, décédé le 22 août 2015.</w:t>
      </w:r>
    </w:p>
    <w:p>
      <w:r>
        <w:rPr>
          <w:b/>
        </w:rPr>
        <w:t>E. 1.1</w:t>
      </w:r>
    </w:p>
    <w:p>
      <w:r>
        <w:t>Le recours porte sur l'indemnisation de l'administrateur officiel de la succession de feu N.________.</w:t>
      </w:r>
    </w:p>
    <w:p>
      <w:r>
        <w:rPr>
          <w:b/>
        </w:rPr>
        <w:t>E. 1.2</w:t>
      </w:r>
    </w:p>
    <w:p>
      <w:r>
        <w:t>Les décisions relatives à l'administration d'office sont des décisions gracieuses de droit fédéral. En matière de dévolution successorale, celui-ci laisse aux cantons la latitude de choisir entre une autorité administrative et un juge, ainsi que de fixer la procédure (Exposé des motifs ad CDJP [Code de droit privé judiciaire vaudois du 12 janvier 2010 ;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 RS 272). L'administration d'office d'une succession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 CREC 11 mars 2013/74). Pour les décisions prises en procédure sommaire, le délai de recours est de dix jours (art. 321 al. 2 CPC).</w:t>
      </w:r>
    </w:p>
    <w:p>
      <w:r>
        <w:t>- 5 -</w:t>
      </w:r>
    </w:p>
    <w:p>
      <w:r>
        <w:rPr>
          <w:b/>
        </w:rPr>
        <w:t>E. 1.3</w:t>
      </w:r>
    </w:p>
    <w:p>
      <w:r>
        <w:t>En l’espèce, le recours, écrit et suffisamment motivé au regard des conclusions tendant à l’annulation de la décision et au complètement de l’instruction par le premier juge, a été formé en temps utile. Se pose toutefois la question de la qualité pour recourir de B.________. 2.</w:t>
      </w:r>
    </w:p>
    <w:p>
      <w:r>
        <w:rPr>
          <w:b/>
        </w:rPr>
        <w:t>E. 2</w:t>
      </w:r>
    </w:p>
    <w:p>
      <w:r>
        <w:t>Par dispositions de dernière volonté, homologuées par le Juge de paix du district de la Riviera - Pays d’Enhaut (ci-après : le Juge de paix) le 28 septembre 2015, feu N.________ a exhérédé B.________ et a institué héritiers son petit-fils [...] et sa petite-fille [...].</w:t>
      </w:r>
    </w:p>
    <w:p>
      <w:r>
        <w:rPr>
          <w:b/>
        </w:rPr>
        <w:t>E. 2.1</w:t>
      </w:r>
    </w:p>
    <w:p>
      <w:r>
        <w:t>L'activité de l'administrateur officiel est, de par le droit fédéral, impérativement placée sous la surveillance d'une autorité (Steinauer, Le droit des successions, 2e éd., Berne 2015, pp. 469-470, n. 877). L'art. 595 al. 3 CC (Code civil suisse du 10 décembre 1907 ; RS 210), selon lequel l'administrateur de la liquidation officielle est placé sous le contrôle de l'autorité et les héritiers peuvent recourir à celle-ci contre les mesures projetées ou prises par lui, est applicable par analogie (CREC 27 octobre 2017/394 consid. 1.1). La doctrine (notamment Steinauer, op. cit., n. 787 p. 418 ; Nonn/Engler, Praxiskommentar Erbrecht, Abt/Weibel [édit.], 3e éd., Bâle 2015, n. 8 ad art. 580 CC ; Gaist, La communauté héréditaire : sa composition, ses biens et ses dettes en droit suisse, thèse Fribourg 2015, pp. 88-89 ; Meyer, Die Rechtsstellung des teilweise oder vollständig übergangenen Pflichtteilserben, in BJM 2008 p. 177, spéc. pp. 190-193) et la jurisprudence (ATF 139 V 1 consid. 4 et les références citées) considèrent que l'héritier exhérédé (au sens propre, en application de l'art. 477 CC), mais également l'héritier simplement passé sous silence par le de cujus qui attribue l'entier de sa succession à un tiers, n'a pas la qualité d'héritier aussi longtemps qu'il n'a pas obtenu le respect de sa réserve. Il en résulte notamment qu'il ne peut requérir le bénéfice d'inventaire qu'après qu'un jugement ait constaté sa qualité d'héritier, que ce soit par le biais de l'action en nullité ou en réduction (Steinauer, op. cit., p. 532, n. 1013a et les références citées, spéc. JdT 1992 III 7, p. 10 ; Couchepin/Maire, Commentaire du droit des successions, Eigenmann/Rouiller [édit.], Berne 2012, n. 7 ad art. 580 CC).</w:t>
      </w:r>
    </w:p>
    <w:p>
      <w:r>
        <w:t>- 6 -</w:t>
      </w:r>
    </w:p>
    <w:p>
      <w:r>
        <w:rPr>
          <w:b/>
        </w:rPr>
        <w:t>E. 2.2</w:t>
      </w:r>
    </w:p>
    <w:p>
      <w:r>
        <w:t>En l’espèce, le recourant, fils du défunt, a été exhérédé par dispositions pour cause de mort. Si l’intéressé a ouvert action en nullité et en réduction de ces dispositions, la procédure, pendante, n’a pas encore abouti. Partant, au vu des principes rappelés ci-dessus, le recourant, qui n’a pas encore obtenu la reconnaissance de sa qualité d’héritier, n’est pas légitimé à contester la rémunération de l’administrateur officiel de la succession de feu N.________. 3.</w:t>
      </w:r>
    </w:p>
    <w:p>
      <w:r>
        <w:rPr>
          <w:b/>
        </w:rPr>
        <w:t>E. 3</w:t>
      </w:r>
    </w:p>
    <w:p>
      <w:r>
        <w:t>Par avis du 28 septembre 2015, le Juge de paix a transmis copie des dispositions de dernière volonté de feu N.________ à B.________, en l’informant que sauf opposition formulée dans un délai d’un mois, le certificat d’héritiers serait délivré en faveur de [...] et [...]. Le 9 octobre 2015, B.________ s’est opposé à la délivrance du certificat d’héritiers en faveur des prénommés et a indiqué qu’il entendait contester son exhérédation.</w:t>
      </w:r>
    </w:p>
    <w:p>
      <w:r>
        <w:rPr>
          <w:b/>
        </w:rPr>
        <w:t>E. 3.1</w:t>
      </w:r>
    </w:p>
    <w:p>
      <w:r>
        <w:t>En définitive, le recours formé par B.________ doit être déclaré irrecevable, faute d’intérêt à agir (art. 59 al. 2 let. a CPC).</w:t>
      </w:r>
    </w:p>
    <w:p>
      <w:r>
        <w:rPr>
          <w:b/>
        </w:rPr>
        <w:t>E. 3.2</w:t>
      </w:r>
    </w:p>
    <w:p>
      <w:r>
        <w:t>Le présent arrêt peut être rendu sans frais judiciaires de deuxième instance (art. 11 TFJC [Tarif des frais judiciaires civils du 28 septembre 2010 ; RSV 270.11.5]). Il n’y a pas lieu à l’allocation de dépens de deuxième instance dès lors que l’intimé H.________ n’a pas été invité à se déterminer. Par ces motifs, la Chambre des recours civile du Tribunal cantonal, prononce : I. Le recours est irrecevable. II. L’arrêt, rendu sans frais, est exécutoire. Le vice-président : Le greffier :</w:t>
      </w:r>
    </w:p>
    <w:p>
      <w:r>
        <w:t>- 7 - Du L’arrêt qui précède, dont la rédaction a été approuvée à huis clos, est notifié à : - B.________, -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r>
        <w:rPr>
          <w:b/>
        </w:rPr>
        <w:t>E. 4</w:t>
      </w:r>
    </w:p>
    <w:p>
      <w:r>
        <w:t>Par ordonnance du 16 février 2016, le Juge de paix a ordonné l’administration d’office de la succession de feu N.________ et a nommé H.________ en qualité d’administrateur d’office, dont le mandat consistait à veiller à la conservation des biens de la masse successorale jusqu’à leur dévolution et représenter la succession auprès de tiers.</w:t>
      </w:r>
    </w:p>
    <w:p>
      <w:r>
        <w:t>- 4 -</w:t>
      </w:r>
    </w:p>
    <w:p>
      <w:r>
        <w:rPr>
          <w:b/>
        </w:rPr>
        <w:t>E. 5</w:t>
      </w:r>
    </w:p>
    <w:p>
      <w:r>
        <w:t>Le 31 mai 2016, B.________ a ouvert action en nullité et en réduction des dispositions pour cause de mort de feu N.________.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