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SE25.007955 vom 19. Mai 2025</w:t>
      </w:r>
    </w:p>
    <w:p>
      <w:r>
        <w:t>VD Tribunal cantonal, 2025-05-19, FR</w:t>
      </w:r>
    </w:p>
    <w:p>
      <w:r>
        <w:rPr>
          <w:b/>
        </w:rPr>
        <w:t xml:space="preserve">Quelle: </w:t>
      </w:r>
      <w:r>
        <w:t>https://mcp.opencaselaw.ch/entscheid/vd_gerichte_SE25.007955</w:t>
      </w:r>
    </w:p>
    <w:p>
      <w:r>
        <w:t>FR: VD_GERICHTE SE25.007955 du 19 mai 2025</w:t>
      </w:r>
    </w:p>
    <w:p>
      <w:r>
        <w:t>IT: VD_GERICHTE SE25.007955 del 19 maggio 2025</w:t>
      </w:r>
    </w:p>
    <w:p>
      <w:pPr>
        <w:pStyle w:val="Heading2"/>
      </w:pPr>
      <w:r>
        <w:t>Erwägungen</w:t>
      </w:r>
    </w:p>
    <w:p>
      <w:r>
        <w:rPr>
          <w:b/>
        </w:rPr>
        <w:t>E. 1.1</w:t>
      </w:r>
    </w:p>
    <w:p>
      <w:r>
        <w:t>; 5A_496/2020 du 23 octobre 2020 consid. 1.1 ; 5A_21/2019 du 1er juillet 2019 consid. 5.1 et les références citées). Il s'ensuit que, dans les relations entre États contractants, le changement (licite) de résidence habituelle du mineur entraîne un changement simultané de la compétence (TF 5A_496/2020 précité, ibidem ; 5A_21/2019 précité, ibidem ;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ibidem ; 5A_313/2014 du 9 octobre 2014 consid. 7.3 ; Dutoit/Bonomi, Droit international privé suisse, Commentaire de la loi fédérale du 18 décembre 1987, 6e éd., Bâle 2022, n. 23 ad art. 85 LDIP, pp. 394-395, et les références citées).</w:t>
      </w:r>
    </w:p>
    <w:p>
      <w:r>
        <w:t>- 6 -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5A_293/2016 précité, ibidem ;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ibidem ; 5A_324/2014 précité, ibidem et les références citées).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5A_293/2016 précité, ibidem ; 5A_324/2014 précité, ibidem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5A_739/2023 du 26 mars 2024 consid. 2.2 ; 5A_933/2020 précité, ibidem ; 5A_274/2016 précité, ibidem et les références citées ; 5A_324/2014 précité, ibidem et les références citées).</w:t>
      </w:r>
    </w:p>
    <w:p>
      <w:r>
        <w:rPr>
          <w:b/>
        </w:rPr>
        <w:t>E. 1.2</w:t>
      </w:r>
    </w:p>
    <w:p>
      <w:r>
        <w:t>L’enfant était inscrite en Suisse à la même adresse qu’O.________, à [...]. Les parents de l’enfant résident toujours en Ukraine.</w:t>
      </w:r>
    </w:p>
    <w:p>
      <w:r>
        <w:rPr>
          <w:b/>
        </w:rPr>
        <w:t>E. 1.3</w:t>
      </w:r>
    </w:p>
    <w:p>
      <w:r>
        <w:t>Par lettre du 1er octobre 2024, le Service de la population (ci- après : SPOP) – Division Asile a signalé à la Justice de paix du district de Lausanne (ci-après : la justice de paix) que l’enfant Y.________ avait tout récemment été attribuée au canton de Vaud comme mineure non accompagnée. Le courrier du SPOP mentionnait que la recourante, tante de l’enfant, souhaitait devenir sa tutrice.</w:t>
      </w:r>
    </w:p>
    <w:p>
      <w:r>
        <w:rPr>
          <w:b/>
        </w:rPr>
        <w:t>E. 2</w:t>
      </w:r>
    </w:p>
    <w:p>
      <w:r>
        <w:t>Par décision du 13 février 2025, expédiée pour notification aux parties le 21 février suivant, la justice de paix a notamment institué une</w:t>
      </w:r>
    </w:p>
    <w:p>
      <w:r>
        <w:t>- 3 - curatelle de représentation, à forme de l’art. 306 al. 2 CC (Code civil suisse du 10 décembre 1907 ; 210), en faveur d’Y.________ (I), désigné [...], responsable de mandats de protection auprès du Service des curatelles et tutelles professionnelles (ci-après : SCTP), en qualité de curatrice (II), avec pour mission de représenter l’enfant dans la sauvegarde de ses intérêts et dans les démarches administratives relatives à la procédure d’asile (III), laissé les frais de la décision à la charge de l’Etat (V) et privé d’effet suspensif tout recours éventuel contre cette décision (VI).</w:t>
      </w:r>
    </w:p>
    <w:p>
      <w:r>
        <w:rPr>
          <w:b/>
        </w:rPr>
        <w:t>E. 3</w:t>
      </w:r>
    </w:p>
    <w:p>
      <w:r>
        <w:t>Par acte adressé le 1er mars 2025 à la justice de paix, transmis le 4 mars suivant à la Chambre des curatelles comme objet de sa compétence, O.________ a recouru contre cette décision en concluant à son annulation. Implicitement, elle demande à être désignée comme représentante de l’enfant. Interpellée, la Juge de paix du district de Lausanne a, par courrier du 7 mars 2025, informé la Chambre de céans que l’autorité de protection renonçait à se déterminer ou, implicitement, à reconsidérer sa décision, à laquelle elle se référait intégralement. Par courrier du 18 mars 2025, la curatrice [...] a été invitée à déposer une réponse dans les trente jours. Elle n’a pas procédé dans le délai imparti. Le 13 avril 2025, O.________ a écrit au Tribunal cantonal pour informer qu’Y.________ était repartie définitivement en Ukraine le 16 avril 2025, décision qui avait été prise conjointement par la mineure, ses parents et sa tante. Faisant suite à un envoi du 29 avril 2025 du Juge délégué de la Chambre de céans lui transmettant la lettre d’O.________ précitée, le SCTP a confirmé, par courrier du même jour, avoir également été informé du retour définitif d’Y.________ en Ukraine.</w:t>
      </w:r>
    </w:p>
    <w:p>
      <w:r>
        <w:t>- 4 - Par envoi du 1er mai 2025, la justice de paix a transmis à la Chambre de céans un courrier du SCTP du 29 avril 2025, sollicitant la levée de la curatelle instituée en faveur d’Y.________ et la libération de la curatrice de ce mandat.</w:t>
      </w:r>
    </w:p>
    <w:p>
      <w:r>
        <w:rPr>
          <w:b/>
        </w:rPr>
        <w:t>E. 4.1</w:t>
      </w:r>
    </w:p>
    <w:p>
      <w:r>
        <w:t>Le recours de l’art. 450 CC, applicable par renvoi de l’art. 314 al. 1 CC, est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w:t>
      </w:r>
    </w:p>
    <w:p>
      <w:r>
        <w:rPr>
          <w:b/>
        </w:rPr>
        <w:t>E. 4.2.1</w:t>
      </w:r>
    </w:p>
    <w:p>
      <w:r>
        <w:t>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1er février 2008 pour l’Ukraine, est applicable dans les</w:t>
      </w:r>
    </w:p>
    <w:p>
      <w:r>
        <w:t>- 5 - relations entre ces deux Etats dès lors qu’ils l’ont signée et ratifiée. Elle a notamment pour objet de déterminer l’Etat dont les autorités ont la compétence pour prendre des mesures tendant à la protection de la personne ou des biens de l’enfant, singulièrement pour prononcer des mesures portant sur le droit de garde et les relations personnelles (art. 1 ch. 1 let. a, 3 let. b et 5 à 14 CLaH96). Elle s’applique aux enfants à partir de leur naissance et jusqu’à ce qu’ils aient atteint l’âge de 18 ans (art. 2 CLaH96).</w:t>
      </w:r>
    </w:p>
    <w:p>
      <w:r>
        <w:rPr>
          <w:b/>
        </w:rPr>
        <w:t>E. 4.2.2</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5A_933/2020 du 14 avril 2021 consid.</w:t>
      </w:r>
    </w:p>
    <w:p>
      <w:r>
        <w:rPr>
          <w:b/>
        </w:rPr>
        <w:t>E. 4.3</w:t>
      </w:r>
    </w:p>
    <w:p>
      <w:r>
        <w:t>En l’espèce, le 16 avril 2025, l’enfant Y.________ a définitivement quitté la Suisse pour retourner vivre auprès de ses parents en Ukraine ; cette décision a été prise d’un commun accord entre la jeune fille, les détenteurs de l’autorité parentale et la recourante restée en Suisse.</w:t>
      </w:r>
    </w:p>
    <w:p>
      <w:r>
        <w:t>- 7 - Au vu de ce qui précède, il y a lieu de constater que la résidence habituelle de l’enfant a été transférée à l’étranger de manière licite et durable dès le 16 avril 2025. Partant, conformément à la jurisprudence précitée, ce changement de résidence habituelle entraîne simultanément un changement de compétence, de sorte que les autorités suisses ne sont désormais plus compétentes pour prendre des mesures concernant la mineure Y.________. Par ailleurs, le retour de l’enfant dans son pays d’origine implique que la curatelle instituée n’a plus d’utilité, son fondement – à savoir la représentation de la mineure en Suisse – ayant en effet disparu ensuite du changement de circonstances. Cette mesure doit dès lors être levée d’office, la curatrice étant relevée purement et simplement de son mandat. Pour le surplus, le recours est sans objet (cf. art. 242 CPC [Code de procédure civile du 19 décembre 2008 ; RS 272], applicable par renvoi de l'art. 450f CC ; Reusser, ZGB I, op. cit., n. 29 ad art. 450d CC, pp. 2962-2963 ; Tappy, Commentaire romand, Code de procédure civile, 2e éd., Bâle 2019, nn. 4 ss ad art. 242 CPC, pp. 1118 ss).</w:t>
      </w:r>
    </w:p>
    <w:p>
      <w:r>
        <w:rPr>
          <w:b/>
        </w:rPr>
        <w:t>E. 5</w:t>
      </w:r>
    </w:p>
    <w:p>
      <w:r>
        <w:t>En conclusion, il est constaté que les autorités suisses ne sont plus compétentes pour prendre des mesures en faveur de la mineure concernée. La curatelle instaurée par la décision entreprise est dès lors levée et la curatrice libérée de son mandat, le recours étant sans objet pour le surplus. Le présent arrêt peut être rendu sans frais judiciaires (art. 74a al. 4 TFJC [tarif du 28 septembre 2010 des frais judiciaires civils ; BLV 270.11.5]).</w:t>
      </w:r>
    </w:p>
    <w:p>
      <w:r>
        <w:t>- 8 - Par ces motifs, la Chambre des curatelles du Tribunal cantonal, statuant à huis clos, prononce : I. Il est constaté que les autorités suisses ne sont plus compétentes pour prendre des mesures concernant la mineure Y.________, née le [...] 2008. II. La curatelle de représentation à forme de l’art. 306 al. 2 CC instituée le 13 février 2025 en faveur d’Y.________ est levée, [...], étant relevée purement et simplement de son mandat de curatrice de la mineure précitée. III. Pour le surplus, le recours est sans objet. IV. L’arrêt, rendu sans frais judiciaires de deuxième instance, est exécutoire. La présidente : La greffière : Du L'arrêt qui précède, dont la rédaction a été approuvée à huis clos, est notifié à : - Mme O.________, - Service des curatelles et tutelles professionnelles, à l’att. de Mme [...], responsable de mandats de protection (pour elle-même et pour Y.________),</w:t>
      </w:r>
    </w:p>
    <w:p>
      <w:r>
        <w:t>- 9 -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