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SE21.013228 vom 10. Februar 2022</w:t>
      </w:r>
    </w:p>
    <w:p>
      <w:r>
        <w:t>VD Tribunal cantonal, 2022-02-10, FR</w:t>
      </w:r>
    </w:p>
    <w:p>
      <w:r>
        <w:rPr>
          <w:b/>
        </w:rPr>
        <w:t xml:space="preserve">Quelle: </w:t>
      </w:r>
      <w:r>
        <w:t>https://mcp.opencaselaw.ch/entscheid/vd_gerichte_SE21.013228</w:t>
      </w:r>
    </w:p>
    <w:p>
      <w:r>
        <w:t>FR: VD_GERICHTE SE21.013228 du 10 février 2022</w:t>
      </w:r>
    </w:p>
    <w:p>
      <w:r>
        <w:t>IT: VD_GERICHTE SE21.013228 del 10 febbraio 2022</w:t>
      </w:r>
    </w:p>
    <w:p>
      <w:pPr>
        <w:pStyle w:val="Heading2"/>
      </w:pPr>
      <w:r>
        <w:t>Volltext</w:t>
      </w:r>
    </w:p>
    <w:p>
      <w:r>
        <w:t>TRIBUNAL CANTONAL SE21.013228-221558 26 CHAMBRE DE S CURATELLE S ____________________________________ Arrêt du 10 février 2022 __________________ Composition : Mme ROULEAU, présidente M. Krieger et Mme Kühnlein, juges Greffière : Mme Egger Rochat ***** Art. 404 et 450 CC La Chambre des curatelles du Tribunal cantonal prend séance pour statuer sur le recours interjeté par W.________, à [...], contre la décision rendue le 10 novembre 2022 par la Juge de paix du district de l’Ouest lausannois dans la cause concernant la curatelle de représentation instituée en faveur de l’enfant B.________, à [...]. Délibérant à huis clos, la Chambre voit : 252</w:t>
      </w:r>
    </w:p>
    <w:p>
      <w:r>
        <w:t>- 2 - En fa it et e n droit: 1. Par décision du 10 novembre 2022, la Juge de paix du district de l’Ouest lausannois (ci-après : la juge de paix) a constaté que Me [...] avait déjà été rémunérée pour les activités déployées du 23 avril 2021 au 22 juillet 2022 dans le cadre de la curatelle instituée en faveur d’B.________, née le [...] 2017 (I), a renoncé à rémunérer Me [...] pour lesdites activités (II) et a rendu la décision sans frais (III). En droit, le premier juge a considéré que la curatrice de représentation avait déjà été rémunérée pour les opérations effectuées du 23 avril 2021 au 22 juillet 2022 par ordonnance de classement rendue le 21 octobre 2022 par la Procureure du Ministère Public de l’arrondissement de l’Est vaudois qui avait fixé son indemnité pour son activité jusqu’au 19 octobre 2022. 2. Le 26 novembre 2022, W.________ a recouru contre cette décision en faisant valoir que Me [...] n’avait droit à aucune rémunération intermédiaire, au motif qu’en qualité de curatrice de représentation de sa fille, elle n’avait déployé aucune activité pendant cette période, si ce n’est péjoré son image auprès de sa fille et nui à leur relation personnelle. 3. Le recours est dirigé contre une décision de l’autorité de protection de l’enfant qui n’a pas indemnisé la curatrice de représentation désignée en faveur de la fille du recourant au sens de l’art. 404 CC pour les activités déployées pendant une certaine période. 3.1 3.1.1 Contre une telle décision, le recours de l'art. 450 CC est ouvert à la Chambre des curatelles (art. 8 LVPAE [Loi du 29 mai d'application du droit fédéral de la protection de l'adulte et de l'enfant ; BLV 211.255] et 76 al. 2 LOJV [Loi d'organisation judiciaire du 12 décembre 1979 ;</w:t>
      </w:r>
    </w:p>
    <w:p>
      <w:r>
        <w:t>- 3 -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3.1.2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2e éd., Bâle 2019 [ci-après : CR-CPC], n. 89 ad art. 59 CPC, pp. 196 et 197). L'existence d'un intérêt digne de protection du recourant est ainsi une condition de recevabilité de tout recours et doit être constatée d’office (art. 60 CPC ; Bohnet, CR-CPC,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16 février 2022/22 ; CCUR 15 avril 2021/86). 3.2 En l’espèce, le recourant fait valoir son opposition à ce que Me [...] perçoive une indemnité intermédiaire pour les activités déployées du 23 avril 2021 au 22 juillet 2022, soit, en d’autres termes, son souhait qu’elle ne perçoive aucune indemnité pour cette période. Or, cette conclusion correspond exactement au dispositif de la décision querellée, le premier juge ayant renoncé à rémunérer Me [...] pour de telles activités. Dès lors, quels que soient les motifs invoqués par le recourant, celui-ci n’a pas d’intérêt au recours, lequel est irrecevable.</w:t>
      </w:r>
    </w:p>
    <w:p>
      <w:r>
        <w:t>- 4 - 4. 4.1 Compte tenu de ce qui précède, le recours doit être déclaré irrecevable. 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W.________, - Me [...], - Mme [...],</w:t>
      </w:r>
    </w:p>
    <w:p>
      <w:r>
        <w:t>- 5 -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