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SE19.031984 vom 21. November 2019</w:t>
      </w:r>
    </w:p>
    <w:p>
      <w:r>
        <w:t>VD Tribunal cantonal, 2019-11-21, FR</w:t>
      </w:r>
    </w:p>
    <w:p>
      <w:r>
        <w:rPr>
          <w:b/>
        </w:rPr>
        <w:t xml:space="preserve">Quelle: </w:t>
      </w:r>
      <w:r>
        <w:t>https://mcp.opencaselaw.ch/entscheid/vd_gerichte_SE19.031984</w:t>
      </w:r>
    </w:p>
    <w:p>
      <w:r>
        <w:t>FR: VD_GERICHTE SE19.031984 du 21 novembre 2019</w:t>
      </w:r>
    </w:p>
    <w:p>
      <w:r>
        <w:t>IT: VD_GERICHTE SE19.031984 del 21 novembre 2019</w:t>
      </w:r>
    </w:p>
    <w:p>
      <w:pPr>
        <w:pStyle w:val="Heading2"/>
      </w:pPr>
      <w:r>
        <w:t>Erwägungen</w:t>
      </w:r>
    </w:p>
    <w:p>
      <w:r>
        <w:rPr>
          <w:b/>
        </w:rPr>
        <w:t>E. 1</w:t>
      </w:r>
    </w:p>
    <w:p>
      <w:r>
        <w:t>Le recours est dirigé contre une décision de la justice de paix instituant une curatelle de représentation au sens de l'art. 306 al. 2 CC en faveur de l’enfant A.Z.________ et désignant Me Aurélien Michel en qualité de curateur.</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t>- 6 -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mère de la mineure concernée, partie à la procédure, le présent recours est recevable. Il en va de même des pièces produites en deuxième instance, si tant est qu’elles ne figurent pas déjà au dossier. L’autorité de protection a été consultée conformément à l’art. 450d al. 1 CC ; le curateur de représentation de l’enfant concernée et le père de cette dernière ont été invités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- 7 -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recourante invoque une violation de son droit d’être entendue au motif que la décision entreprise a été rendue sans qu’elle ait pu au préalable se déterminer sur la question de l’institution d’une curatelle en faveur de sa fille A.Z.________ et de la personne du curateur. Elle relève que le courrier du Ministère public du 2 juillet 2019 ne lui a pas été transmis et qu’elle n’en a eu connaissance que lors de la réception de la décision du 9 juillet 2019. La recourante fait également valoir une motivation insuffisante de la décision attaquée. Elle reproche aux premiers juges de ne pas avoir expliqué en quoi ses intérêts et ceux de sa fille seraient divergents, ou à tout le moins quels motifs les laisseraient à penser qu’elle ferait primer ses intérêts personnels sur ceux de A.Z.________. Elle leur fait également grief de ne pas avoir indiqué les raisons pour lesquelles Me Aurélien Michel a été désigné en qualité de curateur. Elle affirme que compte tenu de la nature de la cause, à savoir les propos tenus par A.Z.________ à l’égard de son père, il convenait de désigner un avocat spécialiste FSA en droit de la famille. La recourante soulève enfin la question de l’existence d’un litige indépendant entre Me Aurélien Michel, en sa qualité de Vice- Président du Tribunal d’arrondissement de la Broye et du Nord vaudois, et Me José Coret, son conseil au civil.</w:t>
      </w:r>
    </w:p>
    <w:p>
      <w:r>
        <w:rPr>
          <w:b/>
        </w:rPr>
        <w:t>E. 2.2.1.1</w:t>
      </w:r>
    </w:p>
    <w:p>
      <w:r>
        <w:t>Le droit d'être entendu est une garantie constitutionnelle (art. 29 al. 2 Cst. [Constitution fédérale de la Confédération suisse du 18 avril 1999 ; RS 101]) de nature formelle, dont la violation entraîne l'annulation</w:t>
      </w:r>
    </w:p>
    <w:p>
      <w:r>
        <w:t>- 8 -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5A_681/2014 du 14 avril 2015 consid. 3.1 ; ATF 137 I 195 consid. 2.2, SJ 2011 I 345).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(CACI 22 novembre 2017/530). Le droit de participer à l'administration des preuves, prévu expressément à l'art. 155 al. 3 CPC, applicable par renvoi de l'art. 450f CC, est un corollaire du droit d'être entendu.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w:t>
      </w:r>
    </w:p>
    <w:p>
      <w:r>
        <w:t>- 9 -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5A_897/2015 du 1er février 2016 consid. 3.2.2 ; ATF 142 II 218 consid. 2.8.1 ; ATF 136 III 174 consid. 5.1.2).</w:t>
      </w:r>
    </w:p>
    <w:p>
      <w:r>
        <w:rPr>
          <w:b/>
        </w:rPr>
        <w:t>E. 2.2.1.2</w:t>
      </w:r>
    </w:p>
    <w:p>
      <w:r>
        <w:t>La Circulaire du Tribunal cantonal n° 41 du 16 septembre 2016 relative à la représentation de l’enfant dans les procédures pénales prévoit qu’en présence d’un conflit d’intérêt entre le parent et l’enfant, le pouvoir de représentation du premier s’éteint de plein droit (art. 306 al. 3 CC). L’existence d’un conflit d’intérêt doit s’examiner de manière abstraite. Il a été admis notamment que la mère de l’enfant n’est pas habilitée à le représenter dans le cadre d’une procédure pénale introduite contre le père, et cela même après le divorce (CREP 1er mars 2016/145 et réf. citées). Dans ces cas-là, il faut dès lors désigner un curateur de représentation à l’enfant (art. 306 al. 2 CC), qui possède les connaissances et les aptitudes nécessaires (art. 400 al. 1 CC), soit un avocat. Le corollaire de l’art. 400 al. 1 CC est que les membres de la famille et les proches doivent pouvoir donner leur avis, le cas échéant invoquer des objections quant au choix pressenti (art. 401 al. 2 et 3 CC ; Meier/Stettler, Droit de la filiation, 6e éd., Genève-Zurich-Bâle 2019, n. 803, p. 536 par ex.).</w:t>
      </w:r>
    </w:p>
    <w:p>
      <w:r>
        <w:t>- 10 -</w:t>
      </w:r>
    </w:p>
    <w:p>
      <w:r>
        <w:rPr>
          <w:b/>
        </w:rPr>
        <w:t>E. 2.2.2</w:t>
      </w:r>
    </w:p>
    <w:p>
      <w:r>
        <w:t>En l’espèce, il ressort du dossier que la justice de paix a rendu la décision attaquée sans avoir au préalable procédé à l’audition de la recourante. Cette dernière avait certes demandé la désignation d’un curateur de représentation en faveur de sa fille dans sa plainte pénale du 11 avril 2019 auprès du Ministère public. Cela ne dispensait toutefois pas l’autorité de protection de l’informer de la procédure ouverte devant elle et de lui permettre de se manifester à ce sujet. En outre, comme exposé ci-dessus (consid. 2.2.1.2), les membres de la famille et les proches doivent pouvoir s’exprimer quant au choix du curateur. La recourante aurait donc dû pouvoir faire valoir les éventuelles objections qu’elle avait à l’égard de la désignation de Me Aurélien Michel, qu’elles soient fondées ou non. Ainsi, en ne procédant pas à l’audition de V.________, la justice de paix a violé son droit d’être entendue. Sur le fond, l’institution d’une curatelle de représentation en faveur de l’enfant A.Z.________ paraît nécessaire et justifiée compte tenu de la situation prévalant entre les parents et de l’important conflit qui les oppose. En effet, la mère a déposé une plainte pénale à l’encontre du père en raison de soupçons d’actes d’ordre sexuel sur leur fille et une procédure civile est pendante entre eux devant le tribunal d’arrondissement, de sorte que le risque de conflit d’intérêt existe. Le principe de la désignation d’un curateur est par conséquent justifié. L’instruction devra donc porter sur la personne du curateur et les parties devront pouvoir se déterminer sur ce point. A cet égard, il conviendra de tirer au clair les liens qui existent entre le curateur désigné et Me José Coret, dans la mesure où celui-ci est le conseil de la recourante dans le cadre de la procédure de mesures protectrices de l’union conjugale. Il résulte de ce qui précède que la décision attaquée doit être annulée et la cause renvoyée à l’autorité de première instance pour instruction et nouvelle décision dans le sens des considérants, afin de respecter le double degré de juridiction.</w:t>
      </w:r>
    </w:p>
    <w:p>
      <w:r>
        <w:t>- 11 -</w:t>
      </w:r>
    </w:p>
    <w:p>
      <w:r>
        <w:rPr>
          <w:b/>
        </w:rPr>
        <w:t>E. 3</w:t>
      </w:r>
    </w:p>
    <w:p>
      <w:r>
        <w:t>En conclusion, le recours interjeté par V.________ doit être admis, la décision entreprise annulée et la cause renvoyée à la Justice de paix du district de Lausanne pour instruction et nouvelle décision dans le sens des considérants. Le présent arrêt peut être rendu sans frais judiciaires (art. 74a al. 4 TFJC [Tarif du 28 septembre 2010 des frais judiciaires civils ; BLV 270.11.5]). L'avance de frais de 600 fr. effectuée par la recourante doit ainsi lui être restituée. Quand bien même la recourante obtient gain de cause, il n’y a pas lieu de lui allouer des dépens de deuxième instance. En effet, la justice de paix n’a pas qualité de partie, mais d’autorité de première instance, de sorte qu’elle ne saurait être condamnée à des dépens (Tappy, Commentaire romand, Code de procédure civile, Bâle 2019, 2e éd., n. 35 ad art. 107 CPC, p. 495 ; ATF 140 II 385 consid. 4.1 et 4.2). Par ces motifs, la Chambre des curatelles du Tribunal cantonal, statuant à huis clos, prononce : I. Le recours est admis. II. La décision est annulée. III. La cause est renvoyée à la Justice de paix du district de Lausanne pour instruction et nouvelle décision dans le sens des considérants.</w:t>
      </w:r>
    </w:p>
    <w:p>
      <w:r>
        <w:t>- 12 - IV. L’arrêt est rendu sans frais judiciaires de deuxième instance, l’avance de frais versée par la recourante V.________, par 600 fr. (six cents francs), lui étant restituée. V. Il n’est pas alloué de dépens de deuxième instance. VI. L'arrêt est exécutoire. Le président : La greffière : Du L'arrêt qui précède, dont la rédaction a été approuvée à huis clos, est notifié à : - Me Albert Habib (pour V.________), - Me Aurélien Michel (pour A.Z.________), - M. B.Z.________, - Ministère public de l’arrondissement de Lausanne, et communiqué à : - M. le Juge de paix du district de Lausanne,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