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SE18.029168 vom 5. November 2019</w:t>
      </w:r>
    </w:p>
    <w:p>
      <w:r>
        <w:t>VD Tribunal cantonal, 2019-11-05, FR</w:t>
      </w:r>
    </w:p>
    <w:p>
      <w:r>
        <w:rPr>
          <w:b/>
        </w:rPr>
        <w:t xml:space="preserve">Quelle: </w:t>
      </w:r>
      <w:r>
        <w:t>https://mcp.opencaselaw.ch/entscheid/vd_gerichte_SE18.029168</w:t>
      </w:r>
    </w:p>
    <w:p>
      <w:r>
        <w:t>FR: VD_GERICHTE SE18.029168 du 5 novembre 2019</w:t>
      </w:r>
    </w:p>
    <w:p>
      <w:r>
        <w:t>IT: VD_GERICHTE SE18.029168 del 5 novembre 2019</w:t>
      </w:r>
    </w:p>
    <w:p>
      <w:pPr>
        <w:pStyle w:val="Heading2"/>
      </w:pPr>
      <w:r>
        <w:t>Erwägungen</w:t>
      </w:r>
    </w:p>
    <w:p>
      <w:r>
        <w:rPr>
          <w:b/>
        </w:rPr>
        <w:t>E. 2</w:t>
      </w:r>
    </w:p>
    <w:p>
      <w:r>
        <w:t>Le recours peut être formé pour violation du droit et constatation manifestement inexacte des faits (art. 320 CPC). L'autorité de recours dispose d'un plein pouvoir d'examen s'agissant de la violation du droit (Spühler, Basler Kommentar, Schweizerische Zivilprozessordnung, 3e éd., Bâle 2017, n. 26 ad art. 319 CPC, p. 1932).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p. 1115).</w:t>
      </w:r>
    </w:p>
    <w:p>
      <w:r>
        <w:rPr>
          <w:b/>
        </w:rPr>
        <w:t>E. 3</w:t>
      </w:r>
    </w:p>
    <w:p>
      <w:r>
        <w:t>Le recourant ne conteste pas la quotité de l’indemnité intermédiaire allouée à la curatrice, mais uniquement le fait qu’elle ait été mise à sa charge par moitié. Il fait valoir que la procédure en changement de nom des enfants a été initiée par la mère et qu’il s’y est toujours opposé, tout comme à l’institution d’une curatelle.</w:t>
      </w:r>
    </w:p>
    <w:p>
      <w:r>
        <w:rPr>
          <w:b/>
        </w:rPr>
        <w:t>E. 3.1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w:t>
      </w:r>
    </w:p>
    <w:p>
      <w:r>
        <w:t>- 10 -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3.2</w:t>
      </w:r>
    </w:p>
    <w:p>
      <w:r>
        <w:t>En l’espèce, si la requête en changement de nom des enfants a certes été initiée par la mère, il ressort toutefois du dossier que c’est la situation de blocage entre les parents, dont tous deux sont responsables, qui a rendu nécessaire l’institution d’une curatelle de représentation en faveur de A.H.________ et B.H.________. Lors de l’audience de la justice de paix du 13 mars 2018, V.________ et C.H.________ ont du reste tous deux adhéré à la désignation d’un curateur compte tenu de leur conflit d’intérêts. Aucun élément au dossier ne justifie que l’on s’écarte du</w:t>
      </w:r>
    </w:p>
    <w:p>
      <w:r>
        <w:t>- 11 - principe selon lequel il appartient aux deux parents d’assumer les frais par moitié. La décision du premier juge est par conséquent justifiée.</w:t>
      </w:r>
    </w:p>
    <w:p>
      <w:r>
        <w:rPr>
          <w:b/>
        </w:rPr>
        <w:t>E. 4</w:t>
      </w:r>
    </w:p>
    <w:p>
      <w:r>
        <w:t>En conclusion, le recours de C.H.________ doit être rejeté et la décision entreprise confirmée. Les frais judiciaires de deuxième instance, arrêtés à 100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100 fr. (cent francs), sont mis à la charge du recourant C.H.________. IV. L'arrêt est exécutoire. Le président : La greffière :</w:t>
      </w:r>
    </w:p>
    <w:p>
      <w:r>
        <w:t>- 12 - Du L'arrêt qui précède, dont la rédaction a été approuvée à huis clos, est notifié à : - M. C.H.________, - Me Julien Gafner (pour V.________), - Me Anne-Claire Boudry,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