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SE14.036303 vom 20. Dezember 2018</w:t>
      </w:r>
    </w:p>
    <w:p>
      <w:r>
        <w:t>VD Tribunal cantonal, 2018-12-20, FR</w:t>
      </w:r>
    </w:p>
    <w:p>
      <w:r>
        <w:rPr>
          <w:b/>
        </w:rPr>
        <w:t xml:space="preserve">Quelle: </w:t>
      </w:r>
      <w:r>
        <w:t>https://mcp.opencaselaw.ch/entscheid/vd_gerichte_SE14.036303</w:t>
      </w:r>
    </w:p>
    <w:p>
      <w:r>
        <w:t>FR: VD_GERICHTE SE14.036303 du 20 décembre 2018</w:t>
      </w:r>
    </w:p>
    <w:p>
      <w:r>
        <w:t>IT: VD_GERICHTE SE14.036303 del 20 dicembre 2018</w:t>
      </w:r>
    </w:p>
    <w:p>
      <w:pPr>
        <w:pStyle w:val="Heading2"/>
      </w:pPr>
      <w:r>
        <w:t>Erwägungen</w:t>
      </w:r>
    </w:p>
    <w:p>
      <w:r>
        <w:rPr>
          <w:b/>
        </w:rPr>
        <w:t>E. 2.1</w:t>
      </w:r>
    </w:p>
    <w:p>
      <w:r>
        <w:t>La recourante soutient que les premiers juges ont arbitrairement retranché de la liste produite toutes les opérations inférieures à dix minutes, considérant à tort qu'il s'agissait d'un pur travail de secrétariat.</w:t>
      </w:r>
    </w:p>
    <w:p>
      <w:r>
        <w:rPr>
          <w:b/>
        </w:rPr>
        <w:t>E. 2.2</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Selon l'art. 3 al. 4 RCur (règlement sur la rémunération des curateurs du 18 décembre 2012 ; BLV 211.255.2), le curateur appelé à</w:t>
      </w:r>
    </w:p>
    <w:p>
      <w:r>
        <w:t>- 8 - fournir des services propres à son activité professionnelle a droit, en principe, à une rémunération fixée sur la base du tarif en usage dans sa profession.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18 août 2014/185 ; art. 2 al. 1 let. a et b RAJ [règlement sur l'assistance judiciaire en matière civile du 7 décembre 2010 ; BLV 211.02.3]). Pour fixer la quotité de l'indemnité du curateur, on peut s'inspirer, en ce qui concerne les opérations qu'il y a lieu de prendre en compte, des principes applicables en matière d'indemnité d'office (CCUR 15 août 2016/173 ; CCUR 14 septembre 2015/220).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w:t>
      </w:r>
    </w:p>
    <w:p>
      <w:r>
        <w:t>- 9 - inutiles ou superflues (CREC 2 juin 2015/208 consid. 3b/ba). De jurisprudence constante, les courriers et courriels constituant des mémos ne peuvent pas être pris en compte à titre d'activité déployée par l'avocat, ces éléments relevant d'un pur travail de secrétariat (CREC 14 septembre 2015/332 consid. 3.2 ; CREC 5 janvier 2015/10 ; Juge délégué CACI 18 août 2014/436 consid. 3 ; CACI 29 juillet 2014/235 consid. 6). Les débours font l'objet d'une liste de frais détaillée que le curateur présente à l'autorité compétente en même temps que son rapport annuel ; une justification sommaire suffit lorsqu'ils ne dépassent pas 400 fr. par an (art. 2 al. 3 RCur).</w:t>
      </w:r>
    </w:p>
    <w:p>
      <w:r>
        <w:rPr>
          <w:b/>
        </w:rPr>
        <w:t>E. 2.3</w:t>
      </w:r>
    </w:p>
    <w:p>
      <w:r>
        <w:t>La jurisprudence constante de la Chambre des recours du Tribunal cantonal en matière d'assistance judiciaire, selon laquelle les opérations relevant d'un pur travail de secrétariat doivent être retranchées, ne permet pas de présumer que les opérations ayant duré moins de dix minutes sont effectuées par le secrétariat et qu'elles doivent être systématiquement déduites. Pour qu’une telle réduction puisse être opérée, encore faut-il que la liste produite, en lien avec la correspondance et les pièces du dossier, permette de confirmer qu’il s’agit d’une opération de secrétariat. Or, tel n’est pas le cas ici. En l'occurrence, la recourante a mentionné 16 heures d'activité sur une année complète, pendant laquelle elle a effectué des démarches auprès des parents, des employeurs de ceux-ci, des services sociaux et de l'Etat civil, afin que les enfants puissent être reconnus par leur père et qu'une convention réglant la contribution d'entretien et le droit de visite puisse être signée. Le temps comptabilisé n'est pas manifestement disproportionné compte tenu du travail effectué. Il y a par conséquent lieu d'allouer une indemnité correspondant aux 16 heures alléguées par la recourante, soit 1'760 fr. (16 x 110 fr.). S'agissant des débours, le montant forfaitaire de 150 fr. réclamé peut être alloué, dans la mesure où il ne dépasse par le montant de 400 fr. prévu par l'art. 2 al. 3 RCur.</w:t>
      </w:r>
    </w:p>
    <w:p>
      <w:r>
        <w:t>- 10 -</w:t>
      </w:r>
    </w:p>
    <w:p>
      <w:r>
        <w:rPr>
          <w:b/>
        </w:rPr>
        <w:t>E. 3</w:t>
      </w:r>
    </w:p>
    <w:p>
      <w:r>
        <w:t>En conclusion, le recours doit être admis et la décision attaquée réformée en ce sens que Me N.________ doit se voir allouer un montant de 1'910 fr. pour son activité de curatrice des enfants G.V.________. La présente décision peut être rendue sans frais judiciaires (art. 74a al. 4 TJFC [Tarif du 28 septembre 2010 des frais judiciaires civils; RSV 270.11.5]). Quand bien même la recourante obtient gain de cause, il n’y a pas lieu de lui allouer des dépens de deuxième instance. En effet, la justice de paix n’ayant pas la qualité de partie, mais d’autorité de première instance, elle ne saurait être condamnée à des dépens (Tappy, CPC commenté, n. 34 ad art. 107 CC, p. 426 ; ATF 140 II 385 consid. 4.1 et 4.2) Par ces motifs, la Chambre des curatelles du Tribunal cantonal, statuant à huis clos, prononce : I. Le recours est admis. II. La décision est réformée au chiffre IV de son dispositif comme suit : IV. alloue à Me N.________, dans le cadre de ses mandats de curatrice des enfants G.V.________ né [...] et B.V.________ né [...], une indemnité de 1'910 fr. (mille neuf cent dix francs), débours compris, pour l'activité qu'elle a déployée du 15 mai 2017 au 26 juin 2018, à la charge de l'Etat.</w:t>
      </w:r>
    </w:p>
    <w:p>
      <w:r>
        <w:t>- 11 - III. L'arrêt est rendu sans frais judiciaires. IV. L'arrêt est exécutoire. Le président : La greffière : Du L'arrêt qui précède, dont la rédaction a été approuvée à huis clos, est notifié à : - [...] personnellement, - [...] personnellement, - Me N.________ personnellement.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