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SE14.036262 vom 21. November 2014</w:t>
      </w:r>
    </w:p>
    <w:p>
      <w:r>
        <w:t>VD Tribunal cantonal, 2014-11-21, FR</w:t>
      </w:r>
    </w:p>
    <w:p>
      <w:r>
        <w:rPr>
          <w:b/>
        </w:rPr>
        <w:t xml:space="preserve">Quelle: </w:t>
      </w:r>
      <w:r>
        <w:t>https://mcp.opencaselaw.ch/entscheid/vd_gerichte_SE14.036262</w:t>
      </w:r>
    </w:p>
    <w:p>
      <w:r>
        <w:t>FR: VD_GERICHTE SE14.036262 du 21 novembre 2014</w:t>
      </w:r>
    </w:p>
    <w:p>
      <w:r>
        <w:t>IT: VD_GERICHTE SE14.036262 del 21 novembre 2014</w:t>
      </w:r>
    </w:p>
    <w:p>
      <w:pPr>
        <w:pStyle w:val="Heading2"/>
      </w:pPr>
      <w:r>
        <w:t>Erwägungen</w:t>
      </w:r>
    </w:p>
    <w:p>
      <w:r>
        <w:rPr>
          <w:b/>
        </w:rPr>
        <w:t>E. 1</w:t>
      </w:r>
    </w:p>
    <w:p>
      <w:r>
        <w:t>Le recours est dirigé contre une décision de la justice de paix désignant O.________ en qualité de curateur au sens de l’art. 306 al. 2 CC des enfants A.J.________, B.J.________ et C.J.________.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w:t>
      </w:r>
    </w:p>
    <w:p>
      <w:r>
        <w:t>- 6 -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 b)Interjeté en temps utile par le curateur désigné, qui a qualité pour recourir, le recours d’O.________ est recevable. L’autorité de protection a été consultée conformément à l’art. 450d CC.</w:t>
      </w:r>
    </w:p>
    <w:p>
      <w:r>
        <w:rPr>
          <w:b/>
        </w:rPr>
        <w:t>E. 2</w:t>
      </w:r>
    </w:p>
    <w:p>
      <w:r>
        <w:t>a)La Chambre des curatelles, qui n’est pas tenue par les moyens et les conclusions des parties, examine d’office si la décision n’est pas affectée de vices d’ordre formel. b)Le recourant fait valoir qu’il n’a pas été auditionné par la justice de paix avant qu’elle ne rende la décision querellée, se plaignant ainsi implicitement d’une violation de son droit d’être entendu.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 3.1, non publié in ATF 140 III 1 ; ATF 137 I 195 c.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JT 2010 I 720 ; ATF 122 I 53 c. 4a, JT 1997 I 304). Ce droit confère à toute personne le droit de s’expliquer</w:t>
      </w:r>
    </w:p>
    <w:p>
      <w:r>
        <w:t>- 7 -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 4.1 et les références citées). Pour autant qu’elle ne soit pas d’une gravité particulière, la violation du droit d’être entendu peut être réparée lorsque le pouvoir d’examen de l’autorité de recours n’est pas restreint par rapport à celui de l’autorité de première instance et qu’il n’en résulte aucun préjudice pour le justiciable (ATF 126 I 68 c. 2 pp. 71 et 72 ; 125 I 209 c. 9a p. 219 et arrêts cités). c)En l’espèce, le recourant n’a pas été entendu par l’autorité de protection avant qu’elle ne rende la décision querellée. La cour de céans a toutefois donné la possibilité au recourant de venir consulter le dossier complet de la cause au greffe et lui a imparti un délai pour compléter la motivation de son recours. Le recourant a ainsi pu exprimer son point de vue dans un courrier adressé le 3 novembre 2014 à la cour de céans. La Chambre des curatelles disposant d’un plein pouvoir d’examen en fait et en droit (cf. 450a CC ; ATF 137 I 195 c. 2.3.2), un éventuel vice a été réparé dans le cadre de la présente procédure.</w:t>
      </w:r>
    </w:p>
    <w:p>
      <w:r>
        <w:rPr>
          <w:b/>
        </w:rPr>
        <w:t>E. 3</w:t>
      </w:r>
    </w:p>
    <w:p>
      <w:r>
        <w:t>Le recourant explique qu’il est responsable de mandats fiscaux auprès de la société [...] et qu’il ne peut accepter la curatelle qu’à la condition de pouvoir exécuter le mandat dans le cadre de son activité professionnelle et d’être rémunéré selon son tarif horaire professionnel de 300 fr. l’heure, TVA en sus. a)Selon l'art. 400 CC, l’autorité de protection de l’adulte nomme curateur une personne physique qui possède les aptitudes et les connaissances nécessaires à l’accomplissement des tâches qui lui seront</w:t>
      </w:r>
    </w:p>
    <w:p>
      <w:r>
        <w:t>- 8 - confiées, qui dispose du temps nécessaire et qui les exécute en personne. Elle peut nommer plusieurs personnes si des circonstances particulières le justifient (al. 1). Sous réserve de justes motifs, la personne nommée est tenue d’accepter la curatelle (al. 2). Bien que le nouveau droit de protection de l’adulte ne prévoit plus un droit de préférence des proches d’être désigné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(Droit de la protection de l’adulte, Guide pratique COPMA, 2012, n. 6.21, p. 186 ; Meier/Lukic, Introduction au nouveau droit de protection de l’adulte, 2011, n. 546, p. 249).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[CommFam], Protection de l’adulte, Berne 2013, n. 2 ad art. 401 CC, p. 519 ; Meier/Lukic, op. cit., n. 547, p. 250 ; Guide pratique COPMA, n. 6.22, p. 187).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t>- 9 - Le curateur doit posséder les aptitudes et connaissances nécessaires aux tâches prévues (art. 400 al. 1 CC; Guide pratique COPMA, 2012, nn. 6.5 ss, pp. 180 ss), c’est-à-dire les qualités personnelles et relationnelles ainsi que les compétences professionnelles requises pour les accomplir, l’autorité de protection étant tenue de vérifier d’office que cette condition est réalisée (Message du Conseil fédéral du 28 juin 2006 à l’appui de la révision du droit de la protection de l’adulte [Message], FF 2006 p. 6683; TF 5A_691/2013 du 14 janvier 2014 c. 2.3.2 et réf. citées). Le critère déterminant pour la nomination d’une personne est son aptitude à effectuer les tâches qui lui seront confiées (Message, FF 2006 p. 6683). b)Selon le Message du Conseil fédéral,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(cf. Reusser, Basler Kommentar, op. cit., n.14/15 ad art. 400 CC, pp. 283 et 284; Fassbind, Erwachsenenschutz, 2012, p. 253; Häfeli, CommFam, Protection de l’adulte, n. 7 ad art. 400 CC, pp. 507 et 508; Meier/Lukic, Introduction au nouveau droit de la protection de l’adulte, 2011, n. 541 et les notes 643/644, p. 246).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w:t>
      </w:r>
    </w:p>
    <w:p>
      <w:r>
        <w:t>- 10 - afférentes ne peuvent être prélevées sur les biens de la personne concernée (al. 3). En vertu de l’art. 48 al. 2 LVPAE, le tribunal cantonal a fixé, par voie réglementaire, le tarif de rémunération du curateur. Aux termes de l’art. 1 al. 1 RCur (Règlement sur la rémunération des curateurs du 18 décembre 2012, RSV 211.255.2), le curateur a droit à une rémunération annuelle qui comprend le remboursement des débours et une indemnité appropriée. Selon l’art. 3 RCur, l’indemnité à laquelle a droit le curateur est fixée par le juge de paix au moment où le curateur lui présente ses comptes pour la période comptable écoulée, c’est-à-dire chaque année au moment où il dépose son rapport, à moins que le curateur ne soit autorisé à rendre ses comptes tous les deux ans seulement. Le curateur nommé dans une procédure judiciaire est rémunéré par l’autorité qui l’a désigné, en principe à la fin du mandat, sur présentation d’une liste des opérations (al.1). L’indemnité tient compte en particulier de l’étendue et de la complexité des tâches confiées au curateur ainsi que des ressources de la personne concernées (al. 2).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(al. 3). Le curateur appelé à fournir des services propres à son activité professionnelle a droit, en principe, à une rémunération fixée sur la base du tarif en usage dans sa profession. L'indemnité qui lui est ainsi allouée n'est pas soumise à la TVA, l'activité en cause relevant de la puissance publique. Lorsque le curateur effectue également des opérations sans lien avec son activité professionnelle, celles-ci justifient une indemnité distincte fixée par application analogique de l'art. 3 al. 3 RCur (al. 4). Ainsi, lorsque dans le cadre de son mandat, le curateur doit accomplir pour la personne concernée des actes propres à son activité</w:t>
      </w:r>
    </w:p>
    <w:p>
      <w:r>
        <w:t>- 11 - professionnelle, il est rémunéré en conséquence.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116 II 399 c. 4b/cc; SJ 2000 I p. 342). Sont notamment déterminantes en la matière l’importance et la difficulté du mandat confié ainsi que la situation de fortune et de revenu de la personne concernée (TF 5A_319/2008 du 23 juin 2008 c. 4.1 et les réf. citées; CCUR 30 septembre 2014/229). c)En l’espèce, l’autorité de protection a nommé le recourant en qualité de curateur des enfants A.J.________, B.J.________ et C.J.________ avec mission de les représenter dans le cadre de la liquidation de la succession de feu leur grand-père paternel G.J.________ et de soumettre à l’approbation du juge de paix une convention de partage, les enfants se trouvant dans un conflit d’intérêts direct avec leur mère. Le recourant, responsable de mandats fiscaux auprès de la société [...], s’est vu confier ce mandat de curateur en raison de ses qualifications et connaissances professionnelles, lesquelles ne sont au demeurant pas mises en cause par celui-ci qui apparaît particulièrement à même d’assurer la bonne exécu- tion du mandat confié. Au surplus, le recourant, qui a admis pouvoir exécuter le mandat pendant ses heures de travail, dispose du temps nécessaire à l’exécution de celui-ci. Partant, aucun juste motif ne s’oppose à la désignation du recourant en qualité de curateur, de sorte que la désignation d’O.________ est appropriée. La décision des premiers juges ne prête donc pas le flanc à la critique et le recours, mal fondé, doit être rejeté.</w:t>
      </w:r>
    </w:p>
    <w:p>
      <w:r>
        <w:rPr>
          <w:b/>
        </w:rPr>
        <w:t>E. 4</w:t>
      </w:r>
    </w:p>
    <w:p>
      <w:r>
        <w:t>En conclusion, le recours interjeté par O.________ doit être rejeté et la décision entreprise confirmée. Le présent arrêt peut être rendu sans frais judiciaires (art. 74a al. 4 TFJC [Tarif du 28 septembre 2010 des frais judiciaires civils, RSV 270.11.5]).</w:t>
      </w:r>
    </w:p>
    <w:p>
      <w:r>
        <w:t>- 12 - Par ces motifs, la Chambre des curatelles du Tribunal cantonal, statuant à huis clos, prononce : I. Le recours est rejeté. II. La décision est confirmée. III. L'arrêt est rendu sans frais judiciaires. La présidente : La greffière : Du 21 novembre 2014 Le dispositif de l'arrêt qui précède est communiqué par écrit aux intéressés. La greffière : Du L'arrêt qui précède, dont la rédaction a été approuvée à huis clos, est notifié à :</w:t>
      </w:r>
    </w:p>
    <w:p>
      <w:r>
        <w:t>- 13 - - M. O.________, - Mme E.J.________,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