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SE13.001476 vom 17. März 2016</w:t>
      </w:r>
    </w:p>
    <w:p>
      <w:r>
        <w:t>VD Tribunal cantonal, 2016-03-17, FR</w:t>
      </w:r>
    </w:p>
    <w:p>
      <w:r>
        <w:rPr>
          <w:b/>
        </w:rPr>
        <w:t xml:space="preserve">Quelle: </w:t>
      </w:r>
      <w:r>
        <w:t>https://mcp.opencaselaw.ch/entscheid/vd_gerichte_SE13.001476</w:t>
      </w:r>
    </w:p>
    <w:p>
      <w:r>
        <w:t>FR: VD_GERICHTE SE13.001476 du 17 mars 2016</w:t>
      </w:r>
    </w:p>
    <w:p>
      <w:r>
        <w:t>IT: VD_GERICHTE SE13.001476 del 17 marzo 2016</w:t>
      </w:r>
    </w:p>
    <w:p>
      <w:pPr>
        <w:pStyle w:val="Heading2"/>
      </w:pPr>
      <w:r>
        <w:t>Erwägungen</w:t>
      </w:r>
    </w:p>
    <w:p>
      <w:r>
        <w:rPr>
          <w:b/>
        </w:rPr>
        <w:t>E. 10</w:t>
      </w:r>
    </w:p>
    <w:p>
      <w:r>
        <w:t>Le 8 mai 2015, A.D.________ a demandé à l’autorité de protection de remplacer la curatrice de représentation par un autre curateur. Il a déclaré être victime d’un parti pris de la part de l’intéressée. En particulier, il a expliqué que, lorsque la sœur jumelle de la défunte avait lancé la pétition intitulée « [...] » sur Facebook, la curatrice n’avait pas réagi. De même, elle s’était opposée à ce qu’il voie son fils et avait requis que son mandat soit étendu, afin de demander une rente d’orphelin pour B.D.________, estimant qu’il n’était ni opportun ni adéquat que le requérant se charge de cette mission, ayant causé le décès de la mère de l’enfant. En outre, la curatrice ne s’était pas manifestée lorsque la</w:t>
      </w:r>
    </w:p>
    <w:p>
      <w:r>
        <w:t>- 7 - question intitulée « un simple droit de visite pour une famille » avait été présentée au Grand Conseil ni lorsque, au terme de son rapport du 3 mars 2015, le SPJ avait souligné avoir subi des pressions de la part de la tante de l’enfant lorsque celle-ci avait menacé de parler aux médias. A.D.________ a également critiqué la plainte pénale déposée au nom de son fils, ajoutant qu’aucun motif juridique ne justifiait cette démarche, puisque B.D.________ était déjà constitué partie civile au moment du dépôt de la plainte. Par ailleurs, il a relevé que la curatrice avait refusé qu’il dédommage son fils par la cession d’un terrain de famille de 40'000 fr., rapportant 600 fr. de fermage, ou par le versement d’un montant transactionnel de 40'000 fr., alors même que les prétentions financières de la curatrice étaient telles qu’elles l’avaient privé de son patrimoine et l’empêchaient de contribuer à l’entretien de son fils. Du reste, il a souligné sur ce point que la curatrice n’avait pas hésité, bien que le jugement ne soit pas encore définitif ni exécutoire, à le menacer de poursuites, au lieu de s’entretenir avec lui à propos du versement de l’indemnité. Enfin, outre que la curatrice n’avait pas réagi lorsque la famille maternelle de B.D.________ avait formulé des prétentions d’un montant total de 340’000 francs, elle n’avait cessé de lui montrer son hostilité, notamment en concluant à ce qu’il soit reconnu coupable d’assassinat.</w:t>
      </w:r>
    </w:p>
    <w:p>
      <w:r>
        <w:rPr>
          <w:b/>
        </w:rPr>
        <w:t>E. 11</w:t>
      </w:r>
    </w:p>
    <w:p>
      <w:r>
        <w:t>Le 13 mai 2015, la justice de paix a autorisé la curatrice à ouvrir un compte intitulé « épargne cadeau », auprès de la Banque Cantonale Vaudoise, au nom de l’enfant, pour y placer l’indemnité pour tort moral.</w:t>
      </w:r>
    </w:p>
    <w:p>
      <w:r>
        <w:rPr>
          <w:b/>
        </w:rPr>
        <w:t>E. 12</w:t>
      </w:r>
    </w:p>
    <w:p>
      <w:r>
        <w:t>Le même jour, la curatrice a conclu au rejet de la requête de A.D.________, précisant quels avaient été les contours de ses diverses interventions et qu’elle avait toujours agi dans l’intérêt de l’enfant. Interpellé sur cette question, le SPJ a conclu, le 25 juin 2015, au maintien de Me Z.________ en qualité de curatrice et précisé qu’un changement de curateur ne serait pas opportun, le nombre d’intervenants en charge de B.D.________ devant être limité afin de garantir une prise en charge constante et cohérente de l’enfant ; en outre, il s’est félicité de la</w:t>
      </w:r>
    </w:p>
    <w:p>
      <w:r>
        <w:t>- 8 - bonne collaboration de la curatrice, de sa présence et de la qualité de son écoute. Le 14 juillet 2015, le juge de paix a rejeté la requête en changement de curateur de A.D.________. Le 18 août 2015, la cour de céans a déclaré irrecevable le recours formé par A.D.________ contre le refus de l’autorité de protection de donner suite à sa requête. Le 7 octobre 2015, l’autorité de protection a procédé aux auditions de A.D.________, de la tante de l’enfant, assistés de leurs conseils respectifs, ainsi qu’à celles de la curatrice de l’enfant et de l’intervenante du SPJ, [...]. Interpellé, le requérant a confirmé ses conclusions du 8 mai 2015. Il a réitéré sa requête tendant à la mise en œuvre d’une expertise. Il a confirmé que, depuis le début de la procédure, la curatrice avait fait preuve d’hostilité à son égard et que le souhait de l’intéressée de l’éliminer de la vie de son enfant pouvait avoir des répercussions graves sur l’équilibre de B.D.________. En outre, il a estimé que la curatrice n’avait pas à se prononcer sur des questions touchant aux relations personnelles de B.D.________ ou à sa vie intime, de telles questions relevant uniquement de la compétence du SPJ. Il a aussi relevé qu’il y avait manifestement un problème de confusion entre les mandats de la curatrice et du SPJ, ce problème lui paraissant être survenu au moment où la curatrice avait demandé à pouvoir assister aux rencontres entre l’enfant et son père. La curatrice a confirmé qu’elle avait toujours agi dans le seul intérêt de l’enfant. Lors de sa comparution, la représentante du SPJ a relevé l’excellent esprit de collaboration de la curatrice et n’avoir jamais observé un parti pris de sa part. En outre, elle a souligné que la curatrice s’était toujours souciée du bien-être de l’enfant, restait neutre et défendait ses intérêts de manière adéquate.</w:t>
      </w:r>
    </w:p>
    <w:p>
      <w:r>
        <w:t>- 9 - En d roit : 1. Le recours est dirigé contre le refus de l’autorité de protection de remplacer l’actuelle curatrice de représentation de l’enfant mineur B.D.________ par un autre curateur (art. 306 al. 2 CC). 2. 2.1 Contre une telle décision, le recours de l'art. 450 CC est ouvert à la Chambre des curatelles (art. 8 LVPAE [Loi du 29 mai 2012 application du droit fédéral de la protection de l’adulte et de l’enfant, RSV 211. 255] et 76 al. 2 LOJV [Loi d’organisation judiciaire du 12 décembre 1979, RSV 173. 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ZGB I, 5ème éd., Bâle 2014, n. 42 ad art. 450 CC, p. 2624).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de l'adulte (Reusser, Basler Kommentar, op. cit., nn. 6 ss ad art. 450d CC, p. 2640). 2.2 En l'espèce, interjeté en temps utile par le père du mineur concerné, partie à la procédure, le présent recours est recevable. Il en va de même des pièces produites en deuxième instance, si tant est qu’elles ne figurent pas déjà au dossier.</w:t>
      </w:r>
    </w:p>
    <w:p>
      <w:r>
        <w:t>- 10 - Le recours étant manifestement mal fondé, au vu des considérations qui seront développées ci-après, la Chambre des curatelles a renoncé à consulter l'autorité de protection de l'adulte et le SPJ, gardien de l’enfant concerné, n’a pas été invité à se déterminer (art. 312 al. 1 CPC, applicable par renvoi des art. 450f CC et 20 LVPAE). 2.3 La Chambre des curatelles doit procéder à un examen complet de la décision attaquée, en fait, en droit et en opportunité (art. 450a CC), conformément à la maxime d'office et à la maxime inquisitoire, ces principes de la procédure de première instance s'appliquant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RS 272]). Selon les situations, le recours est par conséquent réformatoire ou cassatoire (Guide pratique COPMA, n. 12. 39, p. 290). La procédure devant l’autorité de protection est régie par les art. 443 ss CC. Conformément à l'art. 446 CC, l'autorité de protection établit les faits d'office (al. 1) et procède à la recherche et à l'administration des preuves nécessaires (al. 2). Elle applique le droit d'office (al. 4). Ces dispositions s'appliquent également dans le cas où la personne concernée est mineure. Les personnes concernées doivent être entendues personnellement, à moins que leur 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w:t>
      </w:r>
    </w:p>
    <w:p>
      <w:r>
        <w:t>- 11 - 2.4 En l’espèce, les parties ont été entendues par l’autorité de protection le 7 octobre 2015. L'enfant, qui était trop jeune pour être entendu, était représenté par sa curatrice. Les parties ont pu s’exprimer conformément aux normes applicables et la décision est formellement correcte. Elle peut donc être examinée sur le fond. 3. Le recourant s'en prend à la manière dont la curatrice exerce son mandat et soutient qu'en raison d'une forte prévention à son égard, elle n’agit pas toujours dans l’intérêt de son fils. 3.1 L'art 306 al. 2 CC prévoit que, si, dans une affaire, les intérêts des père et mère entrent en conflit avec ceux de l'enfant, l'autorité de protection de l'enfant nomme un curateur ou prend elle-même les mesures nécessaires. Il est évident que, si l'enfant est incapable de discernement, un curateur devra être désigné en cas de conflit d'intérêt (Steinauer/Fountoulakis, Droit des personnes physiques et de la protection de l'adulte, 2014, n. 257, p. 89), afin de garantir le respect de son intérêt (Perrin, Commentaire Romand, Code civil I, art. 1-359 CC, n. 7 ad. art. 306 CC, p. 1857). En revanche, si l'enfant est capable de discernement, il devrait pouvoir bénéficier, en relation avec les biens libérés, de la capacité civile active quel que soit l'acte accompli (Steinauer/Fountoulakis, op. cit., n. 257, p. 89). L’existence d’un conflit d’intérêts se détermine par conséquent de manière abstraite et non concrète (ATF 118 II 101 ; ATF 107 II 105; ATF 68 II 342 s'agissant d'un partage successoral entre l'enfant et son père). En principe, un conflit d’intérêts doit toujours être admis lorsque le représentant a des intérêts propres dans l’affaire, indépendamment du fait que, dans le cas concret, ils sont ou non en contradiction avec ceux du représenté (ATF 121 III 1; Geiser, in Commentaire du droit de la famille [CommFam], Protection de l’adulte, Berne 2013, n. 27 ad art. 365 CC).</w:t>
      </w:r>
    </w:p>
    <w:p>
      <w:r>
        <w:t>- 12 - Le conflit d’intérêts est direct, lorsque l’enfant est partie à une procédure pénale dirigée contre son père (Deschenaux/Steinauer, Personnes physiques et tutelles, 3ème éd., n. 1102, p. 413). L'existence d'un conflit d'intérêts entraîne l'extinction du pouvoir de représentation du parent (art. 306 al. 3 CC; Meier/Stettler, Droit de la filiation, 5e éd., Bâle 2014, n. 942, p. 625). 3.2 Aux termes de l'art. 400 CC, 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(al. 1). Le critère déterminant pour la nomination d'une personne est son aptitude à accomplir les tâches qui lui seront confiées (Message du Conseil fédéral du 28 juin 2006 concernant la révision du Code civil suisse, FF 2006 p. 6683). L'aptitude à occuper la fonction de curateur suppose en particulier que la personne choisie puisse être investie de cette charge, autrement dit que cette mission soit pour elle supportable physiquement et psychiquement (Schnyder/Murer, Berner Kommen-tar, n. 59 ad art. 379 aCC, pp. 702 ss, point de vue qui demeure valable sous l'empire du nouveau droit). Lorsque des objections sont formées à l'encontre de la désignation d'un curateur, l'autorité de protection doit examiner si celles- ci sont objectivement plausibles (ATF 140 III 1 consid. 4.3.2). Enfin, l'autorité n'est pas liée par la proposition des personnes à protéger et les souhaits des parents ou d’autres proches ne sont pris en considé-ration que dans la mesure du possible (Häfeli, CommFam, op. cit., n. 2 ad art. 401 CC, p. 519 ; Guide pratique COPMA, n. 6.22, p. 187).</w:t>
      </w:r>
    </w:p>
    <w:p>
      <w:r>
        <w:t>- 13 - 3.3 En l’espèce, le recourant a tué la mère de son enfant, alors que ce dernier n’était âgé que de trois mois et demi. En commettant cet homicide, l’intéressé a agi à l’encontre des intérêts de son fils. Pour ce seul motif déjà, il ne peut être autorisé à agir au nom et pour le compte de son enfant pour tous les actes le concernant. En outre et surtout, le recourant est opposé à B.D.________ dans le cadre de plusieurs procédures, notamment pénale, ouvertes à la suite du décès de la mère. Il ne peut donc représenter B.D.________. Le choix de l’autorité de protection de désigner un curateur ad hoc pour représenter l’enfant est justifié. 3.4 Le recourant prétend que la curatrice lui est hostile et que l’animosité qu’elle lui manifeste dans le cadre des procédures engagées, en particulier dans celles relatives à l’octroi de l’autorité parentale, la garde de l’enfant et le droit de visite, sur lesquelles elle est appelée à se prononcer, peut être néfaste pour le développement de son fils. Il fait valoir qu’en refusant de mettre en œuvre une expertise psychiatrique propre à déterminer les conséquences possibles que le comportement décrit peut avoir sur l’équilibre de B.D.________, l'autorité de première instance viole son droit d’être entendu. 3.5 De manière générale, le droit de produire des preuves pertinentes et d’obtenir qu’il soit donné suite à des offres de preuve portant sur des mesures probatoires utiles à la manifestation de la vérité se déduit du droit d’être entendu (ATF 140 I 285 consid. 6.3.1 ; ATF 135 lI 286 consid. 5.1 ; ATF 135 V 465 consid. 4.3.2). En matière de droit privé fédéral, la jurisprudence a déduit de l’art. 8 CC le droit à la preuve et à la contre-preuve, à la condition qu’il s’agisse d’établir un fait pertinent, qui n’est pas déjà prouvé, par une mesure probatoire adéquate, laquelle a été régulièrement offerte selon les règles procédurales en vigueur. En outre, il n’y a pas violation de l’art. 8 CC si une mesure probatoire est refusée à la suite d’une appréciation anticipée des preuves (ATF 140 I 285 consid. 6.3 ; ATF 133 III 295 consid. 7.1, JdT 2008 I 160 ; ATF 133 III 189 consid. 5.2.2, JdT 2007 I 197). Par conséquent, si le juge estime que le moyen de preuve requis ne pourrait fournir la preuve attendue ou ne pourrait en aucun cas prévaloir sur les autres moyens de preuve déjà administrés, c’est-à-dire ne</w:t>
      </w:r>
    </w:p>
    <w:p>
      <w:r>
        <w:t>- 14 - serait pas de nature à modifier le résultat des preuves qu’il tient pour acquis, il peut le refuser sans méconnaître pour autant l’art. 8 CC (ATF 140 I 285 consid. 6.3 ; ATF 138 III 374 consid. 4.3.2 ; ATF 136 I 229 consid. 5 ; ATF 134 I 140 consid. 5.3 ; ATF 131 III 222 consid. 4.3; ATF 129 III 18 consid. 2.6). 3.6 Comme l’autorité de protection l’a constaté, on ne voit pas comment un expert psychiatre pourrait se déterminer sur les points invoqués par le recourant. La problématique que celui-ci soulève est manifestement sans rapport avec le domaine de la psychiatrie. En demandant une expertise, le recourant cherche plutôt à servir ses propres intérêts, en tentant, par ce biais, de démontrer que les positions juridiques adoptées par la curatrice, notamment dans le cadre des questions qu’il évoque, sont contraires à l’intérêt de son fils, plutôt qu’à sauvegarder les intérêts de ce dernier. Or, ce point de vue, au vu des éléments au dossier, ne peut être suivi. Tous les éléments en présence établissent en effet, au contraire, que la curatrice se soucie du bien de l’enfant et qu’elle agit dans l’intérêt de celui-ci, accomplissant les tâches qui lui incombent en sa qualité d’avocate. En outre, la curatelle de représentation instaurée l’a été dans le seul et unique but de pourvoir aux besoins d’un très jeune enfant qui s'est trouvé brutalement privé de sa mère et dont la sauvegarde des intérêts commande des décisions appropriées. Elle n’a pas été instituée en faveur d’un père, dont l’intérêt ne peut prévaloir ici. Par ailleurs, la curatrice, qui est au bénéfice d’un brevet d’avocat, présente justement les compétences et connaissances juridiques requises par l’art. 400 CC pour agir au mieux des intérêts de B.D.________, si bien que sa désignation ne peut qu’être approuvée. On observera d’ailleurs, à cet égard, que, soutenir, comme le fait le recourant, que l’expertise viserait des questions échappant au strict cadre juridique et présentant une dimension humaine et subjective ne change rien au fait qu'un avocat est tout à fait en mesure d’appréhender de telles questions. De même, on notera que la curatrice a agi en se fondant sur de nombreux éléments de preuve, notamment sur l’expertise déposée par l’expert [...] le 25 juillet 2014, ainsi que sur les rapports du SPJ, celui du 25</w:t>
      </w:r>
    </w:p>
    <w:p>
      <w:r>
        <w:t>- 15 - juin 2015 confirmant d’ailleurs l’adéquation de la ligne qu’elle suit jusqu’ici. Par conséquent, le rejet de l’autorité de protection de mettre en œuvre l’expertise psychiatrique requise, moyen de preuve apparaissant dénué de perti-nence, n’a pas violé le droit d’être entendu du recourant, de sorte que le moyen invoqué à ce titre doit être rejeté. 3.7 Le recourant reproche également à l’autorité de protection d’avoir retenu que les prises de positions adoptées par la curatrice correspondaient aux avis des experts et du SPJ, citant deux exemples censés démontrer, selon lui, le contraire. En premier lieu, le recourant soutient que la curatrice aurait adopté une attitude contraire à l’intérêt de l’enfant en requérant sa condamnation pour assassinat lors de l’audience du Tribunal criminel de La Broye et du Nord vaudois du 16 février 2015, alors même que les experts ont insisté, dans leur rapport du 25 juillet 2014, sur le fait qu’il devait jouer un rôle dans la vie de son fils. L’intéressé estime que requérir à son encontre le prononcé d’une longue peine privative de liberté, comme l’a fait la curatrice, était de nature à ternir son image et à compromettre ses relations avec son fils. En second lieu, le recourant relève qu’alors que le jugement n’était pas encore définitif ni exécutoire et qu’il n’y avait aucune urgence à payer l’indemnité pour tort moral, la curatrice n’a entrepris aucune discussion avec lui et l’a directement menacé de poursuites judiciaires. S’agissant d’abord de l’accusation d’assassinat, le recourant oublie que l’acte qu’il a commis était d’une extrême violence ; il a privé un enfant âgé de seulement quelques mois de sa mère, et cela pour le restant de ses jours. Il n’est donc pas fondé à critiquer la position de la curatrice, position qui, d’ailleurs, est du ressort du demandeur dans le cadre du procès pénal (ATF 139 IV 84), savoir l’enfant, en l’espèce. Si la curatrice avait agi autrement, ç’eût été contraire aux intérêts du mineur.</w:t>
      </w:r>
    </w:p>
    <w:p>
      <w:r>
        <w:t>- 16 - Ensuite, l’intéressée a eu raison de solliciter le paiement de l'indemnité pour tort moral, du montant fixé par le tribunal, au besoin en introduisant des poursuites à l’encontre du recourant. Elle a adopté une position conforme à sa mission et on ne saurait y voir un acharnement de sa part, mais bien plutôt l'exécution du mandat qui lui a été assigné. 3.8 Le recourant se plaint aussi du caractère inopportun de la décision, faisant valoir que les premiers juges auraient dû prendre en considération, dans leur appréciation, le fait que la curatrice avait adopté des prises de positions antagonistes au lieu de rechercher des solutions amiables et que cela était de nature à porter atteinte aux intérêts de l’enfant. Il est d'avis que la curatrice devrait au contraire faciliter à tout prix ses relations avec B.D.________, notamment en acceptant sa proposition de règlement amiable de céder à l’enfant un terrain de 40’000 fr., au lieu de verser l’indemnité de 50'000 francs. Le recourant oublie de prendre en considération que le règlement amiable qu'il propose se heurte non seulement aux décisions de la justice pénale, laquelle l’a condamné au paiement d’une indemnité d’un montant en capital de 50'000 fr., mais également à l'intérêt de l'enfant, tel qu'il doit guider la curatrice et tel qu’il doit être approuvé par l'autorité de protection (art. 416 al. 1 ch. 4 CC). Cela étant, on ne discerne pas en quoi les modalités du règlement de la créance en tort moral, fixées par décision de justice, l’éventuelle cession d’un terrain, ou encore les critères de fixation des rencontres du recourant avec son fils pourraient avoir un impact sur la qualité du droit de visite. En critiquant les démarches accomplies par la curatrice, le recourant cherche plutôt à sauvegarder ses intérêts plutôt qu’à servir ceux de son fils. Cela n’est pas admissible. Ce moyen doit être rejeté.</w:t>
      </w:r>
    </w:p>
    <w:p>
      <w:r>
        <w:t>- 17 - 4. En conclusion, le recours doit être rejeté et la décision confirmée. Les frais judiciaires de deuxième instance, arrêtés à 300 fr. (art. 74a al. 1 TFJC [tarif du 28 septembre 2010 des frais judiciaires civils, RSV 270.11.5]), sont mis à la charge du recourant, qui succombe (art. 106 al. 1 CPC, applicable par renvoi des art. 450f CC et 12 LVPAE). Par ces motifs, la Chambre des curatelles du Tribunal cantonal, statuant à huis clos, prononce : I. Le recours est rejeté. II. La décision est confirmée. III. Les frais judiciaires de deuxième instance, arrêtés à 300 fr. (trois cents francs), sont mis à la charge du recourant A.D.________. IV. L'arrêt motivé est exécutoire. La présidente : La greffière : Du 17 mars 2016 Le dispositif de l'arrêt qui précède est communiqué par écrit aux intéressés. La greffière :</w:t>
      </w:r>
    </w:p>
    <w:p>
      <w:r>
        <w:t>- 18 - Du L'arrêt qui précède, dont la rédaction a été approuvée à huis clos, est notifié à : - Me Manuela Ryter Godel (pour A.D.________), - Me Z.________ (pour B.D.________), - Q.________, - Mme [...], assistante sociale auprès du Service de protection de la jeunesse, ORPM du Nord, et communiqué à : - Service de protection de la jeunesse, Unité d’appui juridique, - Justice de paix du district du Gros-de-Vaud,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