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RB16.007030 vom 9. September 2016</w:t>
      </w:r>
    </w:p>
    <w:p>
      <w:r>
        <w:t>VD Tribunal cantonal, 2016-09-09, FR</w:t>
      </w:r>
    </w:p>
    <w:p>
      <w:r>
        <w:rPr>
          <w:b/>
        </w:rPr>
        <w:t xml:space="preserve">Quelle: </w:t>
      </w:r>
      <w:r>
        <w:t>https://mcp.opencaselaw.ch/entscheid/vd_gerichte_RB16.007030</w:t>
      </w:r>
    </w:p>
    <w:p>
      <w:r>
        <w:t>FR: VD_GERICHTE RB16.007030 du 9 septembre 2016</w:t>
      </w:r>
    </w:p>
    <w:p>
      <w:r>
        <w:t>IT: VD_GERICHTE RB16.007030 del 9 settembre 2016</w:t>
      </w:r>
    </w:p>
    <w:p>
      <w:pPr>
        <w:pStyle w:val="Heading2"/>
      </w:pPr>
      <w:r>
        <w:t>Erwägungen</w:t>
      </w:r>
    </w:p>
    <w:p>
      <w:r>
        <w:rPr>
          <w:b/>
        </w:rPr>
        <w:t>E. 1</w:t>
      </w:r>
    </w:p>
    <w:p>
      <w:r>
        <w:t>Le recours est dirigé contre une décision par laquelle la justice de paix a institué une curatelle d'assistance éducative provisoire au sens des art. 308 al. 1 CC (Code civil suisse du 10 décembre 1907 ; RS 210) et 445 al. 1 CC en faveur d'un mineur.</w:t>
      </w:r>
    </w:p>
    <w:p>
      <w:r>
        <w:t>- 10 -</w:t>
      </w:r>
    </w:p>
    <w:p>
      <w:r>
        <w:rPr>
          <w:b/>
        </w:rPr>
        <w:t>E. 2.1</w:t>
      </w:r>
    </w:p>
    <w:p>
      <w:r>
        <w:t>Contre toute décision relative à des mesures provisionnelles (Steck, Basler Kommentar, Zivilgesetzbuch I, Art. 1-456 ZGB, 5ème éd., Bâle 2014, n. 21 ad art. 450 CC, p. 2619),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w:t>
      </w:r>
    </w:p>
    <w:p>
      <w:r>
        <w:t>- 11 -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2.2</w:t>
      </w:r>
    </w:p>
    <w:p>
      <w:r>
        <w:t>En l’espèce, interjeté en temps utile par la mère de l'enfant mineur concerné, partie à la procédure, le présent recours est recevable, de même que les pièces jointes à celui-ci si tant est qu'elles ne figurent pas déjà au dossier. En revanche, les conclusions prises à l'encontre de la DGEO, tendant au remboursement de certaines factures de prise en charge de l'adolescent, lesquelles ont au surplus été déposées hors délai, sont irrecevables. Il en de même des griefs adressés par la recourante à la DGEO et qui sont relatifs à l'enclassement de son fils. L'objet du recours est en effet circonscrit par le cadre de l'ordonnance attaquée et ne peut porter que sur la décision attaquée. Le recours étant manifestement mal fondé au vu des considérations qui seront développées ci-après, il a été renoncé à consulter l'autorité de protection (cf. art. 450d al. 1 CC).</w:t>
      </w:r>
    </w:p>
    <w:p>
      <w:r>
        <w:rPr>
          <w:b/>
        </w:rPr>
        <w:t>E. 3.1</w:t>
      </w:r>
    </w:p>
    <w:p>
      <w:r>
        <w:t>A teneur de l’art. 307 CC, l’autorité de protection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Selon la disposition précitée, il faut que le développement de l’enfant, à savoir son bien-être corporel, intellectuel ou moral, soit menacé. Il n’est pas nécessaire qu’il y ait eu atteinte effective et que le</w:t>
      </w:r>
    </w:p>
    <w:p>
      <w:r>
        <w:t>- 12 - mal soit déjà fait. Il peut notamment y avoir mise en danger du bien intellectuel ou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Code civil I, Art. 1- 359 CC, Bâle 2010, nn. 4-6 ad art. 307 CC, pp. 1877 et 1878).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 Message du Conseil fédéral relatif à la modification du code civil suisse (filiation) du 5 juin 1974, FF 1974 II p. 84 ; Hegnauer, Droit suisse de la filiation et de la famille, 4e éd., Berne 1998, adaptation française par Meier, n. 27.09, p. 185, et les références citées). La curatelle éducative au sens de l’art. 308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Il s’agit d’un mandat de curateur qui va au-delà d’un simple droit de regard à forme de l’art. 307 al. 3 CC (Meier, Commentaire romand, op. cit., n. 21 ad art. 307 CC, p. 1882 ; Hegnauer, op. cit., n. 27.19, p. 188).</w:t>
      </w:r>
    </w:p>
    <w:p>
      <w:r>
        <w:t>- 13 -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(Meier/Stettler, Droit de la filiation, 5e éd., 2014, n. 1262, p. 830).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18 août 2016/177, CCUR 13 février 2014/30 et les références citées ; Guide pratique COPMA, nn. 1.184 et 1.186, p. 74 s.).</w:t>
      </w:r>
    </w:p>
    <w:p>
      <w:r>
        <w:rPr>
          <w:b/>
        </w:rPr>
        <w:t>E. 3.2</w:t>
      </w:r>
    </w:p>
    <w:p>
      <w:r>
        <w:t>En l’espèce, il ressort du dossier, en particulier du rapport du SPJ et des bilans et avis figurant au dossier que B.G.________ éprouve de grandes difficultés à développer des relations avec autrui et à s'insérer dans le système scolaire, notamment en raison d'un haut potentiel</w:t>
      </w:r>
    </w:p>
    <w:p>
      <w:r>
        <w:t>- 14 - intellectuel qui le singularise des autres élèves, le rend particulièrement sensible au regard des autres et qui le conduit à exprimer son mal-être par des provocations, des débordements difficiles à contrôler, ainsi que des fugues, qui l'amènent à se faire expulser des écoles où l'on tente de l'insérer ou à cesser de lui-même un enseignement qu'il estime inadapté. A l'évidence, sa situation est lourde et compliquée et réclame un examen attentif et pondéré que la multiplicité des actions menées jusqu'ici, en particulier par la recourante, n'a pas permis d'effectuer. Malgré ses efforts, la mère de B.G.________ n'arrive plus à faire face à la situation, est épuisée et ne parvient pas à cadrer son fils qui lui tient régulièrement des propos violents et dénigrants. Pour sa part, B.G.________ souffre de sa différence au point de ne plus se nourrir et de s'isoler et risque de compromettre son bon développement. Il devient par conséquent urgent qu'un tiers se saisisse de cette problématique afin que l'enfant puisse vivre plus sereinement, qu'il entretienne des relations plus apaisées et qu'une solution d'insertion dans un établissement susceptible de lui apporter un enseignement adapté à ses aptitudes soit trouvée. L'option choisie à cet égard par la justice de paix de confier, tout au moins provisoirement, un mandat de curatelle d'assistance éducative au SPJ apparaît opportune, la mère pouvant ainsi trouver le soutien dont elle a besoin pour toutes les questions relatives aux soins et à l'éducation à donner à son fils, et, notamment, en vue de trouver un lieu d'insertion à l'adolescent. En outre, l'action socio-éducative à mener devrait être facilitée, puisque la recourante dit entretenir de bonnes relations avec le curateur. Dès lors, au stade des mesures provisionnelles et vu le contexte décrit, lequel exige une solution rapide, la décision incriminée apparaît fondée.</w:t>
      </w:r>
    </w:p>
    <w:p>
      <w:r>
        <w:rPr>
          <w:b/>
        </w:rPr>
        <w:t>E. 4.1</w:t>
      </w:r>
    </w:p>
    <w:p>
      <w:r>
        <w:t>En conclusion, le recours de A.G.________ doit être rejeté et la décision entreprise confirmée.</w:t>
      </w:r>
    </w:p>
    <w:p>
      <w:r>
        <w:t>- 15 - Le présent arrêt peut être rendu sans frais judiciaires de deuxième instance (art. 74a al. 4 TFJC [Tarif du 28 septembre 2010 des frais judiciaires civils ; RSV 270.11.5]). L'arrêt étant rendu sans frais judiciaires de deuxième instance et la recourante n'ayant pas procédé par l'intermédiaire d'un mandataire professionnel, sa requête d'assistance judiciaire est sans objet. Par ces motifs, la Chambre des curatelles du Tribunal cantonal, statuant à huis clos, prononce : I. Le recours est rejeté. II. L'ordonnance est confirmée. III. L'arrêt est rendu sans frais judiciaires de deuxième instance. IV. La requête d'assistance judiciaire de A.G.________ est sans objet. V. L'arrêt motivé est exécutoire. La présidente : La greffière : Du 12 septembre 2016 Le dispositif de l'arrêt qui précède est communiqué par écrit aux intéressés.</w:t>
      </w:r>
    </w:p>
    <w:p>
      <w:r>
        <w:t>- 16 - La greffière : Du L'arrêt qui précède, dont la rédaction a été approuvée à huis clos, est notifié à : - A.G.________, - B.G.________, L.________, assistant social auprès du Service de protection de la jeunesse, ORPM de l'Ouest vaudois, et communiqué à : - Justice de paix du district de Morges,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