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QE99.010456 vom 1. Juli 2015</w:t>
      </w:r>
    </w:p>
    <w:p>
      <w:r>
        <w:t>VD Tribunal cantonal, 2015-07-01, FR</w:t>
      </w:r>
    </w:p>
    <w:p>
      <w:r>
        <w:rPr>
          <w:b/>
        </w:rPr>
        <w:t xml:space="preserve">Quelle: </w:t>
      </w:r>
      <w:r>
        <w:t>https://mcp.opencaselaw.ch/entscheid/vd_gerichte_QE99.010456</w:t>
      </w:r>
    </w:p>
    <w:p>
      <w:r>
        <w:t>FR: VD_GERICHTE QE99.010456 du 1 juillet 2015</w:t>
      </w:r>
    </w:p>
    <w:p>
      <w:r>
        <w:t>IT: VD_GERICHTE QE99.010456 del 1 luglio 2015</w:t>
      </w:r>
    </w:p>
    <w:p>
      <w:pPr>
        <w:pStyle w:val="Heading2"/>
      </w:pPr>
      <w:r>
        <w:t>Erwägungen</w:t>
      </w:r>
    </w:p>
    <w:p>
      <w:r>
        <w:rPr>
          <w:b/>
        </w:rPr>
        <w:t>E. 1</w:t>
      </w:r>
    </w:p>
    <w:p>
      <w:r>
        <w:t>Le recours est dirigé contre une décision de la justice de paix nommant O.________ en qualité de curatrice au sens de l’art. 398 CC de I.________.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[cité ci- après : Steck, Basler Kommentar], n. 42 ad art. 450 CC, p. 2624).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Basler Kommentar, n. 7 ad</w:t>
      </w:r>
    </w:p>
    <w:p>
      <w:r>
        <w:t>- 5 - 450a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b) En l’espèce, interjeté en temps utile par la personne concernée ainsi que par la mère de celle-ci, toutes deux ayant qualité pour recourir, le présent recours est recevable. Il en va de même des pièces produites en deuxième instance, si tant est qu’elles ne figurent pas déjà au dossier. Interpellée conformément à l’art. 450d al. 1 CC, la justice de paix a déclaré ne pas vouloir reconsidérer sa décision et a communiqué sa prise de position. N’ayant pas encore pris ses fonctions, la curatrice O.________ n’a pas été invitée à se déterminer.</w:t>
      </w:r>
    </w:p>
    <w:p>
      <w:r>
        <w:rPr>
          <w:b/>
        </w:rPr>
        <w:t>E. 2</w:t>
      </w:r>
    </w:p>
    <w:p>
      <w:r>
        <w:t>a) Les recourantes s’opposent à la désignation de O.________ comme curatrice, faisant valoir que le fils de I.________ est également sous curatelle, qu’il est suivi par une collaboratrice de l’OCTP, que cette dernière exerce sa mission de manière très satisfaisante et qu’il serait dès lors plus adéquat de confier la curatelle de I.________ à une autre personne de cet office, la proximité des deux curateurs devant permettre de simplifier les tâches et d’intervenir plus efficacement. En outre, les recourantes invoquent être domiciliées dans un petit village où tout le monde se connaît et dans lequel habite également O.________, cette situation pouvant, selon elles, compliquer « les choses », notamment lors de la résolution de difficultés. b) 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w:t>
      </w:r>
    </w:p>
    <w:p>
      <w:r>
        <w:t>- 6 - Il ressort du Message du Conseil fédéral concernant la révision du Code civil suisse du 28 juin 2006 que "le critère déterminant pour la nomination d'une personne est son aptitude à accomplir les tâches qui lui sont confiées". Le message ajoute plus loin "qu'il convient de relever que la complexité de certaines tâches limite le recours à des non professionnels, même si ceux-ci sont bien préparés et conseillés durant l'exercice de leur mandat" (Message du Conseil fédéral du 28 juin 2006 à l’appui de la révision du droit de protection de l’adulte, FF 2006 p. 6683). Dans le nouveau droit, l’art. 40 LVPAE, qui reprend le contenu de l’art. 97a al. 1 et 4 de la loi du 30 novembre 1910 d’introduction dans le Canton de Vaud du Code civil suisse (LVCC), applicable jusqu’au 31 décembre 2012, consacre la distinction légale entre les mandats de protection pouvant être confiés à des curateurs ou tuteurs privés (al. 1) et ceux pouvant être attribués à l’entité de curateurs et tuteurs professionnels (al. 4).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w:t>
      </w:r>
    </w:p>
    <w:p>
      <w:r>
        <w:t>- 7 -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et le Code de procédure civile du 14 décembre 1966, décembre 2010, n° 361, ch. 5.1, commentaire introductif ad art. 97a al. 2 LVCC, p. 10, auquel renvoie l'EMPL de la loi vaudoise d'application du droit fédéral de la protection de l'adulte et de l'enfant, novembre 2011, n. 441, p. 109; TF 5A_699/2013 du 29 novembre 2013, c. 4.2).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(Guide pratique COPMA, n. 6.21, p. 186; Meier/Lukic, Introduction au nouveau droit de la protection de l’adulte, 2011, n. 546, p. 249). Toutefois,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 elle prendra en</w:t>
      </w:r>
    </w:p>
    <w:p>
      <w:r>
        <w:t>- 8 - considération l’attitude de refus de la personne concernée à l’égard de la personne proposée comme curatrice que si le fait de passer outre à cette objection ne remet pas en question le succès de sa prise en charge. En effet, le refus de la personne concernée ne saurait entraver la mise en oeuvre de la mesure de protection (Meier/Lukic, op. cit., nn. 548 ss, pp. 250 et 251 et réf citées ; Leuba et crts, CommFam, n. 4 ad art. 401 al. 3 CC, p. 520 ; De Luze et crts, Droit de la famille, Lausanne 2013, n. 3.1 ad art. 401 al. 3 CC, p. 686 ; Guide pratique COPMA, n. 6.22, p. 187 ; CCUR 18 juin 2013/159). Lorsque l'intéressé formule des objections à la nomination, l'autorité de protection doit examiner si celles-ci sont objectivement plausibles (ATF 140 III 1 c. 4.3.2). L'autorité doit tenir compte notamment d'une part de l'acceptation ou non de la mesure par la personne concernée, et d'autre part du fait que celle-ci n'aurait encore jamais formulé d'objections (ibidem). c) Certes, sous l’angle pratique, la désignation comme curatrice d’une personne oeuvrant dans le même office que celle qui s’occupe déjà des intérêts de l’enfant de I.________, comme le souhaitent les recourantes, pourrait effectivement présenter des avantages en matière de prises de décision, de vue d'ensemble d'une situation et de commodités par rapport aux contacts qu’entretiennent les divers intervenants. Cependant, l’art. 40 al. 4 LVPAE prévoit expressément que les collaborateurs de l’OCTP ne peuvent être investis que de mandats de curatelles constituant des cas lourds, c’est-à-dire présentant des difficultés particulières qui ne peuvent être gérées par des curateurs privés. En l’espèce, si la personne concernée est certes au bénéfice d'une curatelle de portée générale, cette curatelle, instaurée en raison de difficultés de gestion administrative et financière, ne répond toutefois pas à la définition des cas particuliers prévus par l’art. 40 al. 4 LVPAE. Le curateur sortant de charge, qui n’était d’ailleurs pas lui-même un curateur</w:t>
      </w:r>
    </w:p>
    <w:p>
      <w:r>
        <w:t>- 9 - professionnel de l'OCTP, n'a pas indiqué ne plus pouvoir assumer son mandat en raison de difficultés qu’il aurait rencontrées au cours de l’exercice de celui-ci. Enfin, les recourantes soutiennent que la désignation d'une curatrice issue du même petit village que la personne concernée serait un handicap parce que les habitants se connaissent entre eux. On discerne cependant mal dans quelle mesure cet élément justifierait un changement de curateur. En effet, la publicité, toute relative avec le nouveau droit de la protection de l'adulte qui a supprimé la publication des curatelles (cf. Message déjà cité, FF 2006 p. 6653), et les désagréments qu'implique la représentation de la personne concernée dans certains actes sont inhérents à la mesure de curatelle. De plus, le curateur désigné est astreint au secret, conformément à l'art. 413 al. 2 CC. Par conséquent, à défaut d'une démonstration concrète, on ne voit pas en quoi la désignation d'une curatrice domiciliée dans le même lieu que la personne concernée constituerait un empêche-ment. En outre, la curatrice désignée ne s’est pas opposée à sa nomination ; la proximité alléguée par les recourantes ne semble donc pas poser de problème de son point de vue. Par conséquent, la décision attaquée étant en l'état bien fondée, elle doit être confirmée.</w:t>
      </w:r>
    </w:p>
    <w:p>
      <w:r>
        <w:rPr>
          <w:b/>
        </w:rPr>
        <w:t>E. 3</w:t>
      </w:r>
    </w:p>
    <w:p>
      <w:r>
        <w:t>En conclusion, le recours doit être rejeté et la décision confirmée. Le présent arrêt peut être rendu sans frais (art. 74a al. 4 TFJC [tarif du 28 septembre 2010 des frais judiciaires civils, RSV 270.11.5]).</w:t>
      </w:r>
    </w:p>
    <w:p>
      <w:r>
        <w:t>- 10 - Par ces motifs, la Chambre des curatelles du Tribunal cantonal, statuant à huis clos, prononce : I. Le recours est rejeté. II. La décision est confirmée. III. L’arrêt est rendu sans frais judiciaires. IV. L'arrêt motivé est exécutoire. La présidente : La greffière : Du 1er juillet 2015 Le dispositif de l'arrêt qui précède est communiqué par écrit aux intéressés. La greffière : Du L'arrêt qui précède, dont la rédaction a été approuvée à huis clos, est notifié à : - Me Jean-Louis Duc (pour I.________ et A.________). - O.________, - J.________,</w:t>
      </w:r>
    </w:p>
    <w:p>
      <w:r>
        <w:t>- 11 -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