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QE99.010344 vom 3. Juli 2015</w:t>
      </w:r>
    </w:p>
    <w:p>
      <w:r>
        <w:t>VD Tribunal cantonal, 2015-07-03, FR</w:t>
      </w:r>
    </w:p>
    <w:p>
      <w:r>
        <w:rPr>
          <w:b/>
        </w:rPr>
        <w:t xml:space="preserve">Quelle: </w:t>
      </w:r>
      <w:r>
        <w:t>https://mcp.opencaselaw.ch/entscheid/vd_gerichte_QE99.010344</w:t>
      </w:r>
    </w:p>
    <w:p>
      <w:r>
        <w:t>FR: VD_GERICHTE QE99.010344 du 3 juillet 2015</w:t>
      </w:r>
    </w:p>
    <w:p>
      <w:r>
        <w:t>IT: VD_GERICHTE QE99.010344 del 3 luglio 2015</w:t>
      </w:r>
    </w:p>
    <w:p>
      <w:pPr>
        <w:pStyle w:val="Heading2"/>
      </w:pPr>
      <w:r>
        <w:t>Erwägungen</w:t>
      </w:r>
    </w:p>
    <w:p>
      <w:r>
        <w:rPr>
          <w:b/>
        </w:rPr>
        <w:t>E. 1</w:t>
      </w:r>
    </w:p>
    <w:p>
      <w:r>
        <w:t>Le recours est dirigé contre une décision de la justice de paix désignant T.________ en qualité de curateur au sens de l’art. 398 CC de Q.________.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le curateur désigné, le présent recours est recevable. Il en va de même des pièces produites en deuxième instance, si tant est qu’elles ne figurent pas déjà au dossier.</w:t>
      </w:r>
    </w:p>
    <w:p>
      <w:r>
        <w:t>- 5 -</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Le recourant conteste sa désignation en qualité de curateur de Q.________. Il invoque un emploi du temps chargé, qui ne lui permet pas de disposer du temps nécessaire pour s’acquitter du mandat qui lui est confié.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w:t>
      </w:r>
    </w:p>
    <w:p>
      <w:r>
        <w:t>- 6 - l’adulte [Message], FF 2006, p. 6683;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Reusser, Basler Kommentar, op. cit., n. 48 ad art. 400 CC, p. 2252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2245), le critère déterminant pour la nomination d'une personne est son aptitude à accomplir les tâches qui lui seront confiées (Message, FF 2006 p. 6683).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(FF 2006 p. 6683; TF 5A_691/2013 du 14 janvier 2014 c. 2.3.2 et réf. citées). L'aptitude à occuper la fonction de curateur suppose en particulier que la personne choisie puisse être investie de cette charge, autrement dit que cette</w:t>
      </w:r>
    </w:p>
    <w:p>
      <w:r>
        <w:t>- 7 - mission soit pour elle supportable physiquement et psychiquement (Schnyder/Murer, Berner Kommentar, n. 59 ad art. 379 aCC, pp. 702 ss, point de vue qui demeure valable sous l'empire du nouveau droit). Lorsque l’intéressé formule des objections à sa nomination, l’autorité de protection doit examiner si celles-ci sont objectivement plausibles (ATF 140 III 1 c. 4.3.2). Selon le Message du Conseil fédéral,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(TF 5A_691/2013 du 14 janvier 2014; TF 5A_699/2013 du 29 novembre 2013; Reusser, op. cit., nn. 14/15 ad art. 400 CC, p. 2241; Häfeli, in Commentaire du droit de la famille [CommFam], Protection de l’adulte, Berne 2013, n. 7 ad art. 400 CC, pp. 507 et 508; Meier/Lukic, Introduction au nouveau droit de la protection de l’adulte, 2011, n. 541 et les notes 643/644, p. 246). b) T.________ expose qu’il travaille à 50% en qualité d’enseignant auprès de l’établissement scolaire de [...], qu’il est également maître de classe, qu’en plus de donner des cours, il participe à de nombreuses réunions avec les parents, les logopédistes et les psychologues pour assurer le suivi d’élèves en difficulté et qu’il organise diverses activités hors-cadre pour ses élèves et les accompagne dans des camps. Cet emploi du temps implique qu’il a de nombreuses soirées qui sont prises et qu’il doit régulièrement travailler le week-end. Par ailleurs, il est maître d’enseignement et de recherche à 50% auprès de la faculté des lettres de l’Université de [...], ce qui lui prend beaucoup de temps et déborde sur le week-end. Il explique aussi qu’il est père d’une adolescente de 14 ans qu’il s’efforce d’encadrer le mieux possible, notamment dans son travail scolaire, et qu’il apporte son soutien tant à sa mère, âgée de 81 ans, veuve et qui vit encore à domicile, qu’à sa belle-mère,</w:t>
      </w:r>
    </w:p>
    <w:p>
      <w:r>
        <w:t>- 8 - durablement affectée par une grave maladie et par le décès de son époux en 2010. Selon les éléments qui précèdent, il apparaît effectivement que le recourant ne dispose pas du temps nécessaire pour se charger de la curatelle prononcée en faveur de Q.________. En effet, trop occupé par ses obligations professionnelles et familiales, il n’a pas la disponibilité suffisante pour administrer de manière efficace la curatelle instituée et les intérêts de la personne concernée risquent d'être compromis par sa désignation en qualité de curateur. Dès lors, le recours étant bien fondé, la décision entreprise doit être annulée et la cause renvoyée aux premiers juges afin qu’ils procèdent à la nomination d’un autre curateur, plus apte à se charger des intérêts de Q.________, et ce en conformité avec les règles procédurales émises à cet égard par le Tribunal fédéral (TF 5A_691/2013 du 14 janvier 2014).</w:t>
      </w:r>
    </w:p>
    <w:p>
      <w:r>
        <w:rPr>
          <w:b/>
        </w:rPr>
        <w:t>E. 4</w:t>
      </w:r>
    </w:p>
    <w:p>
      <w:r>
        <w:t>En conclusion, le recours interjeté par T.________ doit être admis, la décision entreprise annulée et la cause renvoyée à la justice de paix pour nouvelle décision dans le sens des considérants. Le présent arrêt peut être rendu sans frais judiciaires (art. 74a al. 4 TFJC [Tarif du 28 septembre 2010 des frais judiciaires civils, RSV 270.11.5]). Même s’il obtient gain de cause, il n’y a pas lieu d’allouer de dépens de deuxième instance au recourant. En effet, il a agi personnellement et la justice de paix n’a pas qualité de partie, mais d’autorité de première instance, de sorte qu’elle ne saurait être condamnée à des dépens (cf. Tappy CPC commenté, Bâle 2011, n. 34 ad art. 107 CPC, p. 426).</w:t>
      </w:r>
    </w:p>
    <w:p>
      <w:r>
        <w:t>- 9 - Par ces motifs, la Chambre des curatelles du Tribunal cantonal, statuant à huis clos, prononce : I. Le recours est admis. II. La décision est annulée et la cause renvoyé à la Justice de paix du district de Lausanne pour nouvelle décision dans le sens des considérants. III. L’arrêt est rendu sans frais. IV. L'arrêt motivé est exécutoire. La présidente : La greffière : Du 3 juillet 2015 Le dispositif de l'arrêt qui précède est communiqué par écrit aux intéressés. La greffière: Du</w:t>
      </w:r>
    </w:p>
    <w:p>
      <w:r>
        <w:t>- 10 - L'arrêt qui précède, dont la rédaction a été approuvée à huis clos, est notifié à : - M. T.________, - M. Q.________, - Mme X.________, 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