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QE63.000009 vom 12. Mai 2025</w:t>
      </w:r>
    </w:p>
    <w:p>
      <w:r>
        <w:t>VD Tribunal cantonal, 2025-05-12, FR</w:t>
      </w:r>
    </w:p>
    <w:p>
      <w:r>
        <w:rPr>
          <w:b/>
        </w:rPr>
        <w:t xml:space="preserve">Quelle: </w:t>
      </w:r>
      <w:r>
        <w:t>https://mcp.opencaselaw.ch/entscheid/vd_gerichte_QE63.000009</w:t>
      </w:r>
    </w:p>
    <w:p>
      <w:r>
        <w:t>FR: VD_GERICHTE QE63.000009 du 12 mai 2025</w:t>
      </w:r>
    </w:p>
    <w:p>
      <w:r>
        <w:t>IT: VD_GERICHTE QE63.000009 del 12 maggio 2025</w:t>
      </w:r>
    </w:p>
    <w:p>
      <w:pPr>
        <w:pStyle w:val="Heading2"/>
      </w:pPr>
      <w:r>
        <w:t>Erwägungen</w:t>
      </w:r>
    </w:p>
    <w:p>
      <w:r>
        <w:rPr>
          <w:b/>
        </w:rPr>
        <w:t>E. 3.1</w:t>
      </w:r>
    </w:p>
    <w:p>
      <w:r>
        <w:t>Le recourant conteste la décision de la justice de paix de lui retirer le mandat de curateur de son frère B.V.________. Il fait valoir qu’il s’occupe de ce dernier depuis plus de vingt ans selon le souhait de leur</w:t>
      </w:r>
    </w:p>
    <w:p>
      <w:r>
        <w:t>- 11 - mère, puis des héritiers de celle-ci, qu'il a participé à toutes les activités organisées par le groupe qui accueille son frère, qu'il gère également « tout le patrimoine familial » et qu'il est très actif dans sa commune (membre du Conseil communal, de la Commission d’urbanisme, de la Commission de gestion et de la DTSI [Direction des travaux et des services industriels]). Il indique qu'en 2024, il a subi de nombreuses interventions chirurgicales (appendicite, pancréatite, remplacement d'une prothèse). Il produit « le décompte de 2024 » et se dit prêt à remplir la déclaration d'impôts. Le recourant demande les coordonnées du nouveau curateur pour déposer plainte contre lui, dès lors qu’il a bloqué tous les comptes auprès de la [...], ce qu'il qualifie d'« agissements irresponsables ».</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op. cit., n. 956 p. 502) -,</w:t>
      </w:r>
    </w:p>
    <w:p>
      <w:r>
        <w:t>- 12 -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du 12 décembre 2019 consid. 3.2.1 ; TF 5A_228/2018 du 30 avril 2018 consid. 4.2.1 ; TF 5A_904/2014 du 17 mars 2015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(Meier, op. cit., nn. 962 et 963, pp. 505 ss et les références citées ; Häfeli, Commentaire du droit de la famille, Protection de l’adulte, Berne 2013, ci- après : CommFam, n. 2 ad art. 401 CC, p. 519).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t>- 13 - L'autorité de protection de l'adulte doit veiller à ce qu'il n'y ait pas de conflit d'intérêts entre la personne à protéger et celle qui est pressentie comme curatrice (Reusser, Basler Kommentar, n. 14 ad art. 401 CC, p. 2524 ;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Fountoulakis, in Pichonnaz/Foëx/Fountoulakis [éd.], Commentaire romand, Code civil I, Art. 1-456 CC, 2e éd., Bâle 2024, n. 10 ad art. 403 CC, p. 2879 ; Meier, op. cit., n. 976, p. 512 et les références citées ; Steinauer/Fountoulakis, Droit des personnes physiques et de la protection de l'adulte, Berne 2014, n. 1239, p. 550).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w:t>
      </w:r>
    </w:p>
    <w:p>
      <w:r>
        <w:rPr>
          <w:b/>
        </w:rPr>
        <w:t>E. 3.2.2</w:t>
      </w:r>
    </w:p>
    <w:p>
      <w:r>
        <w:t>L'autorité de protection est tenue de libérer de ses fonctions un curateur qui n'est plus apte à remplir les tâches qui lui sont confiées (art. 423 al. 1 ch. 1 CC). Une telle situation justifie, dans l'intérêt de la</w:t>
      </w:r>
    </w:p>
    <w:p>
      <w:r>
        <w:t>- 14 -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n. 24 ad art. 421-424 CC, p. 2574). De manière générale, la perte de confiance de la personne concernée en son curateur, des conflits ou une relation irrémédiablement détruite peuvent constituer un juste motif de libération (Vogel, Basler Kommentar, n. 26 ad art. 421-424 CC, p. 2574). Dans l’application de l’art. 423 CC, l'autorité de protection jouit d'un large pouvoir d'appréciation, qu’elle doit exercer à la lumière des intérêts de la personne concernée (Meier, op. cit., n. 1147, p. 609 ; TF 5A_443/2021 du 18 janvier 2022 consid. 3 ; TF 5A_391/2016 du 4 octobre 2016 consid. 5.2.2).</w:t>
      </w:r>
    </w:p>
    <w:p>
      <w:r>
        <w:rPr>
          <w:b/>
        </w:rPr>
        <w:t>E. 3.3.1</w:t>
      </w:r>
    </w:p>
    <w:p>
      <w:r>
        <w:t>Il sied au préalable de relever qu’il est normal que le nouveau curateur ait bloqué les comptes bancaires, puisque le chiffre VII du dispositif de la décision entreprise retire tout effet suspensif à un éventuel recours.</w:t>
      </w:r>
    </w:p>
    <w:p>
      <w:r>
        <w:t>- 15 -</w:t>
      </w:r>
    </w:p>
    <w:p>
      <w:r>
        <w:rPr>
          <w:b/>
        </w:rPr>
        <w:t>E. 3.3.2</w:t>
      </w:r>
    </w:p>
    <w:p>
      <w:r>
        <w:t>En l’espèce, il ressort du dossier que le recourant rencontre depuis plusieurs années des difficultés à remplir les formulaires de comptes, ce qui oblige régulièrement l’assesseure à y apporter des corrections ou à les compléter. Il peine également à transmettre à cette dernière les justificatifs nécessaires pour le contrôle des comptes, des rappels et des sommations lui ayant été adressés. Or, la situation s’est aggravée en 2024. En effet, par courriel du 18 juin 2024, F.________ a demandé à A.V.________ de lui faire parvenir les justificatifs relatifs au compte 2023, ce qu’il n’a pas fait. Elle l’a relancé le 16 juillet 2024, mais là encore, le curateur ne s’est pas exécuté. La juge de paix est alors intervenue et, par courrier du 9 septembre 2024, a imparti au recourant un délai au 30 septembre 2024 pour transmettre à l’assesseure les justificatifs qu’elle lui avait demandés et indiquer s’il souhaitait poursuivre le mandat de curateur de son frère. A.V.________ n’y a une fois de plus pas donné suite, amenant la juge de paix à lui fixer un nouveau délai au 14 octobre 2024 pour lui répondre, ce qu’il n’a toujours pas fait. Le recourant ne s’est pas non plus présenté aux audiences de la juge de paix des 25 novembre 2024 et 20 janvier 2025, bien que dûment cité à comparaître par avis des 22 octobre et 11 décembre 2024, alléguant un accident de voiture pour la première et un confinement préventif après un souper avec des amis grippés pour la seconde. A.V.________ invoque des problèmes de santé durant l’été 2024 pour justifier ses réponses tardives aux sollicitations de l’assesseure. Le 27 janvier 2025, il a même écrit à la justice de paix qu'il était en « incapacité totale de travail » depuis le 10 mai 2024. Les difficultés rencontrées ne sont toutefois pas nouvelles, comme mentionné ci-dessus. En octobre 2007 déjà, le recourant avait du reste demandé à la justice de paix de faire appel à un autre curateur pour accomplir les tâches administratives qui le « dépass[ai]ent et [étaient] à même de décourager ». Par ailleurs, les problèmes de santé à répétition constituent un motif d'empêchement. Il résulte de ce qui précède que le recourant ne parvient plus à gérer la curatelle de son frère à satisfaction, dès lors qu’il rencontre des difficultés à établir les comptes, peine à fournir à l'assesseure les</w:t>
      </w:r>
    </w:p>
    <w:p>
      <w:r>
        <w:t>- 16 - documents nécessaires pour le contrôle de ceux-ci, ne répond pas à ses courriers, ainsi qu’à ceux de la juge de paix et ne se présente pas aux audiences de l’autorité de protection, bien que dûment cité à comparaître. C’est donc à juste titre que les premiers juges ont relevé A.V.________ de ses fonctions et désigné un nouveau curateur à la personne concernée. A noter que même sans être curateur de son frère, le recourant peut participer à la vie de ce dernier et à celle de sa commune.</w:t>
      </w:r>
    </w:p>
    <w:p>
      <w:r>
        <w:rPr>
          <w:b/>
        </w:rPr>
        <w:t>E. 4</w:t>
      </w:r>
    </w:p>
    <w:p>
      <w:r>
        <w:t>En conclusion, le recours de A.V.________ doit être rejeté et la décision entreprise confirmée. Les frais judiciaires de deuxième instance, arrêtés à 300 fr. (art. 74a al. 1 TFJC [Tarif du 28 septembre 2010 des frais judiciaires civils ; BLV 270.11.5]), sont mis à la charge du recourant qui succombe (art. 106 al. 1 CPC). Par ces motifs, la Chambre des curatelles du Tribunal cantonal, statuant à huis clos, prononce : I. Le recours est rejeté. II. La décision est confirmée. III. Les frais judiciaires de deuxième instance, arrêtés à 300 fr. (trois cents francs), sont mis à la charge du recourant A.V.________.</w:t>
      </w:r>
    </w:p>
    <w:p>
      <w:r>
        <w:t>- 17 - IV. L'arrêt est exécutoire. La présidente : La greffière : Du L'arrêt qui précède, dont la rédaction a été approuvée à huis clos, est notifié à : - M. A.V.________, - M. B.V.________, - M. D.________,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