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QE21.001308 vom 29. April 2024</w:t>
      </w:r>
    </w:p>
    <w:p>
      <w:r>
        <w:t>VD Tribunal cantonal, 2024-04-29, FR</w:t>
      </w:r>
    </w:p>
    <w:p>
      <w:r>
        <w:rPr>
          <w:b/>
        </w:rPr>
        <w:t xml:space="preserve">Quelle: </w:t>
      </w:r>
      <w:r>
        <w:t>https://mcp.opencaselaw.ch/entscheid/vd_gerichte_QE21.001308</w:t>
      </w:r>
    </w:p>
    <w:p>
      <w:r>
        <w:t>FR: VD_GERICHTE QE21.001308 du 29 avril 2024</w:t>
      </w:r>
    </w:p>
    <w:p>
      <w:r>
        <w:t>IT: VD_GERICHTE QE21.001308 del 29 aprile 2024</w:t>
      </w:r>
    </w:p>
    <w:p>
      <w:pPr>
        <w:pStyle w:val="Heading2"/>
      </w:pPr>
      <w:r>
        <w:t>Erwägungen</w:t>
      </w:r>
    </w:p>
    <w:p>
      <w:r>
        <w:rPr>
          <w:b/>
        </w:rPr>
        <w:t>E. 1</w:t>
      </w:r>
    </w:p>
    <w:p>
      <w:r>
        <w:t>X.________ est née le [...] 2003. Fille de Y.________ et Z.________, elle est atteinte du syndrome de Down (trisomie 21).</w:t>
      </w:r>
    </w:p>
    <w:p>
      <w:r>
        <w:rPr>
          <w:b/>
        </w:rPr>
        <w:t>E. 1.1</w:t>
      </w:r>
    </w:p>
    <w:p>
      <w:r>
        <w:t>Le recours est dirigé contre une décision de la justice de paix relevant et libérant les co-curateurs de leur fonction et désignant en qualité de curatrice une assistante sociale du SCTP.</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w:t>
      </w:r>
    </w:p>
    <w:p>
      <w:r>
        <w:t>- 7 - la décision (art. 450b al. 1 CC ; cf. notamment CCUR 11 avril 2023/70).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Basler Kommentar, Zivilgesetzbuch I, Art. 1-456 ZGB, 7e éd., Bâle 2022 [ci-après : BSK Zivilgesetzbuch I],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w:t>
      </w:r>
    </w:p>
    <w:p>
      <w:r>
        <w:t>- 8 - pour compléter l’état de fait sur des points essentiels (art. 318 al. 1 let. c ch. 2 CPC).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Zivilgesetzbuch I, op. cit., nn. 6 ss ad art. 450d CC, p. 2957).</w:t>
      </w:r>
    </w:p>
    <w:p>
      <w:r>
        <w:rPr>
          <w:b/>
        </w:rPr>
        <w:t>E. 1.3</w:t>
      </w:r>
    </w:p>
    <w:p>
      <w:r>
        <w:t>En l'espèce, le recours a été interjeté en temps utile conjointement par les co-curateurs relevés de leurs fonctions, qui sont également les parents de la personne concernée. Ils ont qualité pour recourir. Complété dans le délai imparti, il est recevable. Les pièces produites, pour autant qu'elles ne figurent pas déjà au dossier, le sont également. L'autorité de protection et la personne concernée ont eu l'occasion de se déterminer. 2.</w:t>
      </w:r>
    </w:p>
    <w:p>
      <w:r>
        <w:rPr>
          <w:b/>
        </w:rPr>
        <w:t>E. 2</w:t>
      </w:r>
    </w:p>
    <w:p>
      <w:r>
        <w:t>Dans une procédure ouverte à la requête des parents, la justice de paix a institué, par décision du 3 décembre 2020, une curatelle de portée générale en faveur de X.________ et a désigné ses parents en qualité de co-curateurs avec pouvoir de représentation individuel.</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- 9 -</w:t>
      </w:r>
    </w:p>
    <w:p>
      <w:r>
        <w:rPr>
          <w:b/>
        </w:rPr>
        <w:t>E. 2.2.1</w:t>
      </w:r>
    </w:p>
    <w:p>
      <w:r>
        <w:t>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w:t>
      </w:r>
    </w:p>
    <w:p>
      <w:r>
        <w:rPr>
          <w:b/>
        </w:rPr>
        <w:t>E. 2.2.2</w:t>
      </w:r>
    </w:p>
    <w:p>
      <w:r>
        <w:t>En l'espèce, les recourants ont été entendus par la juge de paix le 6 juillet 2023 et ont renoncé à une nouvelle audience devant la justice de paix in copore, de sorte que leur droit d'être entendus a été respecté. 3.</w:t>
      </w:r>
    </w:p>
    <w:p>
      <w:r>
        <w:rPr>
          <w:b/>
        </w:rPr>
        <w:t>E. 2.3</w:t>
      </w:r>
    </w:p>
    <w:p>
      <w:r>
        <w:t>; CCUR 25 juillet 2022/127 et les références citées).</w:t>
      </w:r>
    </w:p>
    <w:p>
      <w:r>
        <w:rPr>
          <w:b/>
        </w:rPr>
        <w:t>E. 3</w:t>
      </w:r>
    </w:p>
    <w:p>
      <w:r>
        <w:t>Par courrier du 25 mai 2023, Z.________ a informé la justice de paix que le rapport de l’exercice 2022 établi par Y.________ et transmis par son épouse avant qu’il n’ait pu le consulter, contenait un certain nombre d’erreurs. Il a exposé que le couple s’était séparé et que la situation entre les époux était très tendue. Dans un courrier complémentaire du 9 juin 2023, Z.________ a expliqué qu’à son sens, depuis quelques années, son épouse souffrait de paranoïa, ce qui l’avait peu à peu éloignée de son cercle social. Il a notamment expliqué qu’à une occasion, son épouse avait décompensé et l’avait suspecté d’avoir abusé sexuellement de leur fille, ce qui l’avait conduite à demander des investigations au Centre hospitalier universitaire vaudois (ci-après : CHUV), lesquelles s’étaient révélées négatives. Z.________ craignait que Y.________, qu’il décrivait comme une mère fusionnelle et contrôlante, ait tendance à formater leur fille. S’agissant de leur rôle de co-curateur, il relevait que si, la plupart du temps, Y.________ avait une attitude tout à fait correcte à son égard, il lui était arrivé de se retrouver mis devant le fait accompli, notamment s’agissant du rapport annuel 2022. Au terme de ce second courrier, Z.________ demandait donc s’il était possible de prévoir que toute démarche effectuée dans le cadre</w:t>
      </w:r>
    </w:p>
    <w:p>
      <w:r>
        <w:t>- 5 - de la curatelle soit obligatoirement validée tant par Y.________ que par lui ou, à défaut, qu’il soit désigné seul curateur de leur fille.</w:t>
      </w:r>
    </w:p>
    <w:p>
      <w:r>
        <w:rPr>
          <w:b/>
        </w:rPr>
        <w:t>E. 3.1</w:t>
      </w:r>
    </w:p>
    <w:p>
      <w:r>
        <w:t>Les recourants s'opposent à la désignation d'un curateur extérieur à la famille et souhaitent voir perdurer la situation qui prévalait jusque-là. Ils soutiennent notamment que la situation ne serait plus conflictuelle entre eux, en particulier depuis qu’ils n’habitent plus sous le même toit, que le souhait de leur fille serait qu'ils puissent continuer à gérer ses affaires et que celle-ci se porte très bien.</w:t>
      </w:r>
    </w:p>
    <w:p>
      <w:r>
        <w:rPr>
          <w:b/>
        </w:rPr>
        <w:t>E. 3.2.1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2e éd., Genève/Zurich/ Bâle 2022, nn. 941-942 p. 491 et les références citées). L’autorité de protection est tenue de vérifier d’office que la condition</w:t>
      </w:r>
    </w:p>
    <w:p>
      <w:r>
        <w:t>- 10 - posée par l’art. 400 al. 1 CC est réalisée, devoir qui incombe aussi à l’autorité de recours (TF 5A_755/2019 du 12 décembre 2019 consid. 3.2.1 ; TF 5A_706/2017 du 12 février 2018 consid. 6.2 ; TF 5A_904/2014 du 17 mars 2015 consid. 2.1 et les références citées). L’autorité de protection est tenue d’accéder aux souhaits de la personne concernée lorsque celle-ci propose une personne de confiance comme curateur (art. 401 al. 1 CC). Cette règle – qui s’applique tant au moment de la désignation du curateur qu’en cas de changement ultérieur de la personne en charge du mandat (Meier, op. cit., n. 956 p. 502) –, découle du principe d’autodétermination et tient compte du fait qu’une relation de confiance entre la personne concernée et le curateur, indispensable au succès de la mesure, aura d’autant plus de chance de se créer que l’intéressé aura pu choisir lui-même son curateur (Guide pratique COPMA 2012, n. 6.21, p. 186). Cependant, la loi subordonne expressément la prise en compte de ces souhaits aux aptitudes de la personne choisie (ATF 140 III 1 consid. 4.1 ; TF 5A_755/2019 précité consid. 3.2.1 ; TF 5A_228/2018 du 30 avril 2018 consid. 4.2.1 ; TF 5A_904/2014 précité consid. 2.2 ; Meier, op. cit., n. 959, p. 503 ; Guide pratique COPMA 2012, n. 6.21, p. 186).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(ATF 140 III 1 consid. 4.3.2).</w:t>
      </w:r>
    </w:p>
    <w:p>
      <w:r>
        <w:rPr>
          <w:b/>
        </w:rPr>
        <w:t>E. 3.2.2</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la mise en danger des intérêts de la personne protégée – qui est seule déterminante et non le fait qu'il y ait eu dommage ou pas (TF 5A_839/2021 du 3 août 2022 consid. 2.1.1 ; Rosch, CommFam, n. 5 ad art. 423 CC, p. 645) – doit</w:t>
      </w:r>
    </w:p>
    <w:p>
      <w:r>
        <w:t>- 11 - atteindre un certain degré de gravité. Selon les cas, d'autres mesures, comme des conseils et un soutien au sens de l'art. 400 al. 3 CC, peuvent être suffisantes pour remédier à des défaillances de peu d'importance (Guide pratique COPMA, n. 8.9, p. 229). Par ailleurs, l'autorité de protection de l'adulte doit veiller à ce qu'il n'y ait pas de conflit d'intérêts entre la personne à protéger et celle qui est pressentie comme curatrice (Häfeli, CommFam, n. 2 ad art. 401 CC, p. 519), ainsi qu'aux dysfonctionnements familiaux et aux difficultés émotionnelles qui peuvent rendre la tâche particulièrement difficile dans certaines situations si elle n'est pas confiée à une personne externe à l'entourage (Meier, op. cit., n. 964, p. 506).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 ; CCUR 5 mars 2020/55 ; CCUR 15 juin 2017/114 et les références citées).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n. 8.10, p. 229 ; Vogel, BSK Zivilgesetzbuch I, op. cit., n. 24 ad art. 421-424 CC, p. 2574). De manière générale, la perte de confiance de la personne concernée en son curateur, des conflits ou une relation irrémédiablement</w:t>
      </w:r>
    </w:p>
    <w:p>
      <w:r>
        <w:t>- 12 - détruite peuvent constituer un juste motif de libération (Vogel, BSK Zivilgesetzbuch I, op. cit., n. 26 ad art. 421-424 CC, p. 2574). Dans l’application de l’art. 423 CC, l'autorité de protection jouit d'un large pouvoir d'appréciation, qu’elle doit exercer à la lumière des intérêts de la personne concernée (Meier, op. cit., n. 1147, p. 609 ; TF 5A_443/2021 du 18 janvier 2022 consid. 3 ; TF 5A_391/2016 du 4 octobre 2016 consid. 5.2.2).</w:t>
      </w:r>
    </w:p>
    <w:p>
      <w:r>
        <w:rPr>
          <w:b/>
        </w:rPr>
        <w:t>E. 3.3</w:t>
      </w:r>
    </w:p>
    <w:p>
      <w:r>
        <w:t>En l'espèce, les premiers juges ont considéré en substance qu'il était nécessaire de libérer Z.________ et Y.________ de leur fonction de co-curateurs et de nommer une personne externe au cercle familial ès qualités en raison du contexte conflictuel qui prévalait entre eux. Cette appréciation doit être confirmée. X.________ fait l'objet d'une curatelle de portée générale instaurée par décision du 2 décembre 2020. Elle est atteinte du syndrome de Down (trisomie 21). Les parents, qui étaient à l’origine de la requête tendant à l’insaturation de la mesure de protection, avaient alors été désignés en qualité de co-curateurs avec pouvoir de représentation individuel. Depuis le courrier adressé par le recourant à la justice de paix le 25 mai 2023 – par lequel le recourant informait l’autorité de protection du fait qu'il n'avait pas pu consulter les comptes envoyés par son épouse pour l'exercice 2022 et que ceux-ci comportaient un certain nombre d'erreurs –, il est apparu que le couple est en conflit. Les époux ne font d'ailleurs plus domicile commun depuis août 2023. Pour les recourants, qui agissent ensemble au stade du recours, le fait d'avoir pris un domicile séparé aurait permis un apaisement de la situation et ils seraient aujourd’hui à même de s'occuper ensemble de leur fille, relevant que cela est son plus grand souhait. A ce stade, il est prématuré de juger si l'apaisement dont se prévalent les recourants pourra être maintenu sur la durée et si la situation est dès lors suffisamment sereine pour permettre une gestion</w:t>
      </w:r>
    </w:p>
    <w:p>
      <w:r>
        <w:t>- 13 - commune des intérêts de leur fille sans que cela ne lui nuise. On relèvera que les reproches formulés en cours de procédure par les recourants l’un contre l’autre étaient véhéments et ne semblaient pas se fonder sur des épisodes uniques ou isolés. Z.________ a reproché à Y.________ de souffrir de paranoïa (cf. courrier du 9 juin 2023 sous lettre C.3 supra), puis a déclaré qu'elle avait des dysfonctionnements qui nécessitaient un suivi psychiatrique (cf. audience du 6 juillet 2023) et qu’il craignait que son épouse ne transmette à sa fille sa méfiance des hommes. De son côté, Y.________ a reproché à son époux de ne jamais avoir été suffisamment présent pour les apprentissages de sa fille et l'a, par le passé, soupçonné d'avoir abusé sexuellement de celle-ci, allant jusqu'à demander des investigations au CHUV. La sœur du recourant, [...], a en outre pris la peine d’écrire à l’autorité de protection, pour dénoncer le fait que « depuis plusieurs années », Y.________ s'était parfois montrée verbalement violente, notamment à l'égard de son mari, qu’elle pouvait se montrer manipulatrice avec sa fille et qu’elle avait elle-même été victime des agressions verbales de sa belle-sœur. Elle décrivait la tristesse et le traumatisme ressentis par sa nièce en raison de sa confrontation à la violence de certaines altercations entre ses parents. Il ressort de l’ensemble de ces éléments que le conflit entre les parents perdure depuis longtemps et qu'il est cristallisé. Dans ces circonstances, l'annonce de domiciles séparés ne suffit donc manifestement pas à admettre que le conflit serait aujourd’hui totalement résorbé, contrairement à ce que soutiennent les recourants d'une seule et même voix au vu des circonstances. D'ailleurs, la recourante a admis à l'audience qu'ils avaient déjà tenté, par le passé, de se faire aider, sans succès toutefois. Les recourants font enfin valoir que X.________ va très bien et que ses activités à la Vallée de Joux se passent bien. Le recourant ajoute que le bien de sa fille doit primer, qu'elle vit bien la séparation, qu'elle passe les week-ends avec lui, chacun des recourants ayant trouvé une manière de l'accompagner. Elle est aimée de ses deux parents et préférerait que ce soit eux qui s'occupent de ses affaires administratives.</w:t>
      </w:r>
    </w:p>
    <w:p>
      <w:r>
        <w:t>- 14 - A cet égard, le rôle que chacun a trouvé auprès de X.________ ne sera en rien modifié par la désignation d'un curateur externe à la famille. Ils pourront continuer à l'accompagner dans ses diverses activités et à passer des moments agréables avec elle. Toutefois, au vu de la manière dont ils se sont mutuellement dépréciés, il est sain et dans l'intérêt de leur fille que les recourants n'administrent ni ne gèrent ensemble les affaires de celle-ci, comme déjà dit. Cela permettra vraisemblablement d'apaiser la situation si cela est encore nécessaire ou, à tout le moins, de consolider une sérénité retrouvée. 4. En conclusion, le recours doit être rejeté et la décision attaquée confirmée.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IV. L'arrêt est exécutoire. La présidente : La greffière :</w:t>
      </w:r>
    </w:p>
    <w:p>
      <w:r>
        <w:t>- 15 - Du L'arrêt qui précède, dont la rédaction a été approuvée à huis clos, est notifié à : - Mme X.________, - Mme Y.________, - M. Z.________, - SCTP, à l’att. de Mme B.________, et communiqué à : - Mme la Juge de paix du district du Nord-vaudois,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courrier du 1er juillet 2023, Y.________ a en substance indiqué qu’elle regrettait que Z.________ n’ait pas pris le temps de lui expliquer les éventuelles erreurs commises dans le rapport 2022. Elle expliquait que le prénommé n’avait jamais été présent pour les apprentissages éducatifs de leur fille et qu’il n’était pas transparent sur ses projets, notamment celui de s’installer en France, alors que, de son coté, elle lui avait toujours communiqué les informations importantes concernant leur fille. En définitive, Y.________ formait le souhait de pouvoir continuer à s’occuper des affaires administratives et financières de leur fille, et ce avec ou sans l’aide de Z.________.</w:t>
      </w:r>
    </w:p>
    <w:p>
      <w:r>
        <w:rPr>
          <w:b/>
        </w:rPr>
        <w:t>E. 5</w:t>
      </w:r>
    </w:p>
    <w:p>
      <w:r>
        <w:t>Par courrier du 3 juillet 2023, la sœur de Z.________, [...], a en substance indiqué que, depuis plusieurs années, Y.________ s’était parfois montrée verbalement violente, notamment à l’égard de son mari, et, surtout, qu’elle semblait avoir une emprise certaine sur leur fille. Elle exposait que celle-ci avait également assisté, à plusieurs reprises, à des disputes entre ses parents et avait semblé attristée et traumatisée par la violence à laquelle elle avait été confrontée.</w:t>
      </w:r>
    </w:p>
    <w:p>
      <w:r>
        <w:rPr>
          <w:b/>
        </w:rPr>
        <w:t>E. 6</w:t>
      </w:r>
    </w:p>
    <w:p>
      <w:r>
        <w:t>Lors de l’audience de la juge de paix du 6 juillet 2023, Y.________ s’est déclarée prête, si nécessaire, à prendre des cours afin d’acquérir les compétences nécessaires pour mener à bien son rôle de curatrice. Elle a souligné que leur fille allait très bien, ce que Z.________ a confirmé. Elle estime avoir besoin de l’aide de son mari pour la gestion administrative, mais a indiqué que celui-ci n’était pas prêt à l’aider. Elle a expliqué que le couple avait déjà tenté de se faire aider par le passé pour rétablir la communication entre eux, sans succès, les conflits entre eux demeurant importants. Interpellée sur un changement de curateur, elle a déclaré qu’elle trouvait terrible de devoir en arriver là. Z.________ a indiqué que Y.________ rencontrait des difficultés qui, à son sens, nécessitaient un suivi thérapeutique. Il a indiqué avoir</w:t>
      </w:r>
    </w:p>
    <w:p>
      <w:r>
        <w:t>- 6 - l’impression que, depuis quelques temps, X.________ était « formatée » par sa mère et que sa situation se dégradait. Il a ajouté que leur fille était régulièrement présente lors des conflits. A l’issue de l’audience, la juge de paix a accordé aux comparants un délai pour lui proposer, d’un commun accord, une personne neutre de leur entourage qui pourrait accepter d’être désignée en qualité de curatrice de leur fille. Ils ont renoncé à être entendus par la justice de paix in corpore.</w:t>
      </w:r>
    </w:p>
    <w:p>
      <w:r>
        <w:rPr>
          <w:b/>
        </w:rPr>
        <w:t>E. 7</w:t>
      </w:r>
    </w:p>
    <w:p>
      <w:r>
        <w:t>Par courrier du 24 juillet 2023, Z.________ a en substance indiqué qu’il regrettait que le mandat de la curatelle institué en faveur de X.________ doive être confié à une personne externe au cercle familial. Il a indiqué avoir pensé à une ou deux personnes pour reprendre ledit mandat, mais que Y.________ s’était opposée à leur désignation.</w:t>
      </w:r>
    </w:p>
    <w:p>
      <w:r>
        <w:rPr>
          <w:b/>
        </w:rPr>
        <w:t>E. 8</w:t>
      </w:r>
    </w:p>
    <w:p>
      <w:r>
        <w:t>Interpellé, le SCTP a indiqué qu’il acceptait la prise en charge de la personne concernée et que ce mandat serait confié à B.________, responsable de mandat.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