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QE18.055105 vom 2. Februar 2021</w:t>
      </w:r>
    </w:p>
    <w:p>
      <w:r>
        <w:t>VD Tribunal cantonal, 2021-02-02, FR</w:t>
      </w:r>
    </w:p>
    <w:p>
      <w:r>
        <w:rPr>
          <w:b/>
        </w:rPr>
        <w:t xml:space="preserve">Quelle: </w:t>
      </w:r>
      <w:r>
        <w:t>https://mcp.opencaselaw.ch/entscheid/vd_gerichte_QE18.055105</w:t>
      </w:r>
    </w:p>
    <w:p>
      <w:r>
        <w:t>FR: VD_GERICHTE QE18.055105 du 2 février 2021</w:t>
      </w:r>
    </w:p>
    <w:p>
      <w:r>
        <w:t>IT: VD_GERICHTE QE18.055105 del 2 febbraio 2021</w:t>
      </w:r>
    </w:p>
    <w:p>
      <w:pPr>
        <w:pStyle w:val="Heading2"/>
      </w:pPr>
      <w:r>
        <w:t>Erwägungen</w:t>
      </w:r>
    </w:p>
    <w:p>
      <w:r>
        <w:rPr>
          <w:b/>
        </w:rPr>
        <w:t>E. 4.1</w:t>
      </w:r>
    </w:p>
    <w:p>
      <w:r>
        <w:t>La recourante conteste la curatelle de portée générale instituée en sa faveur. Elle soutient que la décision attaquée est arbitraire en ce sens que l’expertise ne se prononce pas clairement sur sa capacité de discernement. Elle se prévaut des attestations médicales de deux de ses médecins traitants, soit de celle du Dr A.E.________ du 26 octobre 2020 et de celle du Dr C.________ du 6 novembre 2020. Elle relève que le premier considère qu’elle ne présente pas de signes évocateurs de maladie physique ou mentale et que le second constate que ses capacités de discernement sont plutôt conservées.</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w:t>
      </w:r>
    </w:p>
    <w:p>
      <w:r>
        <w:t>- 19 - protection (art. 390 al. 2 CC). A l'instar de l'ancien droit de la tutelle, une cause de curatelle (état objectif de faiblesse), ainsi qu'une condition de curatelle (besoin de protection), doivent être réunies pour justifier le prononcé d'une curatelle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nn. 16 et 17, pp. 387 ss ; TF 5A_417/2018 du 17 octobre 2018, SJ 2019 I p. 127).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L’état de faiblesse doit avoir encore pour conséquence l’incapacité, totale ou partielle, de la personne concernée d'assurer elle- même la sauvegarde de ses intérêts ou de désigner un représentant pour</w:t>
      </w:r>
    </w:p>
    <w:p>
      <w:r>
        <w:t>- 20 -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w:t>
      </w:r>
    </w:p>
    <w:p>
      <w:r>
        <w:rPr>
          <w:b/>
        </w:rPr>
        <w:t>E. 4.2.2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soit lorsque des</w:t>
      </w:r>
    </w:p>
    <w:p>
      <w:r>
        <w:t>- 21 -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w:t>
      </w:r>
    </w:p>
    <w:p>
      <w:r>
        <w:rPr>
          <w:b/>
        </w:rPr>
        <w:t>E. 4.3</w:t>
      </w:r>
    </w:p>
    <w:p>
      <w:r>
        <w:t>En l’espèce, dans leur expertise psychiatrique du 21 janvier 2020, les Dres S.________ et Z.________ affirment que la recourante souffre de troubles cognitifs légers, qu’il s’agit d’une affection chronique et irréversible qui tend à se péjorer et que l’intéressée n’a pas conscience des atteintes à sa santé. Elles déclarent en outre que ces troubles entraînent chez A.R.________ une incapacité à gérer ses affaires. Elles précisent certes qu’elles ne peuvent pas se prononcer sur la capacité de discernement de cette dernière dans la globalité. L’incapacité de discernement n’est toutefois pas une condition stricte à l’institution d’une curatelle de portée générale (cf. supra consid. 4.2.2). Les expertes indiquent également que la recourante n’est pas capable d’assurer elle- même la sauvegarde de ses intérêts et qu’elle est susceptible de prendre</w:t>
      </w:r>
    </w:p>
    <w:p>
      <w:r>
        <w:t>- 22 - des engagements contraires à ceux-ci et d’être victime d’abus de tiers. Or, il ressort effectivement du dossier que l’intéressée n’est pas capable de refuser de donner de l’argent à sa fille, que cette dernière lui a fait signer des reconnaissances de dette et a intenté plusieurs actions en justice en son nom et que A.R.________ a signé des documents sans savoir exactement de quoi il s’agissait, de sorte que depuis 2018, elle a accumulé des poursuites alors qu’elle n’en avait jamais eues auparavant. Les expertes observent encore que la recourante est vulnérable, en tous les cas lorsqu’il s’agit de sa fille ou de son petit-fils, celui-ci résidant chez elle sans lui verser de contribution et pouvant se montrer verbalement agressif envers elle, et que ces relations sont sources d’angoisses et d’anxiété, ce qui aggrave l’impact sur ses troubles cognitifs. Elles ajoutent que l’intéressée est prise dans un conflit de loyauté et qu’elle est incapable de résister à sa fille. A cet égard, on relèvera que dans son rapport du 20 décembre 2018, la Dre I.________ mentionne que A.R.________ lui parle depuis des années d’une pression continue de sa fille sur ses décisions, mais qu’elle a toujours refusé de porter plainte et de demander une curatelle de protection et a au contraire obéi à B.R.________ et consulté plutôt ses avocats. Dans sa requête du 15 janvier 2019, T.________ expose que lors du premier entretien avec la curatrice, la recourante a longuement pleuré, répétant qu’elle n’avait pas accès à son argent et ne pouvait s’offrir aucun plaisir car sa fille lui prenait tout ce qu’elle avait. Elle constate que l’intéressée se trouve dans un grave conflit de loyauté entre l’amour qu’elle porte à sa fille et son besoin de faire cesser cette situation néfaste pour elle. Dans sa lettre du 1er février 2019, la Dre [...] déclare que A.R.________ ne veut pas ou ne peut pas comprendre la situation financière dans laquelle elle se trouve, ainsi que les conséquences de celle-ci, et qu’il lui est visiblement impossible de refuser de donner de l’argent à sa fille. Lors de son audition du</w:t>
      </w:r>
    </w:p>
    <w:p>
      <w:r>
        <w:rPr>
          <w:b/>
        </w:rPr>
        <w:t>E. 6</w:t>
      </w:r>
    </w:p>
    <w:p>
      <w:r>
        <w:t>mars 2019 par le président du tribunal d’arrondissement, la recourante a du reste indiqué qu’elle était consciente des agissements nuisibles de sa fille, mais qu’elle ne parvenait pas à lui résister. Les expertes préconisent le maintien de la mesure de curatelle au vu de l’incapacité de la recourante à défendre ses intérêts et de sa fragilité psychique qui l’expose à l’abus de tiers. La curatrice et Me Jérôme Bürgisser ont confirmé être du</w:t>
      </w:r>
    </w:p>
    <w:p>
      <w:r>
        <w:t>- 23 - même avis lors de leur audition du 16 juin 2020. Lors de cette audience, la justice de paix a constaté que A.R.________ n’avait pas reconnu X.________ malgré les différentes rencontres précédentes. La recourante se prévaut des attestations des Drs A.E.________ et C.________ des 26 octobre et 6 novembre 2020 pour affirmer que les conditions d’institution d’une curatelle de portée générale ne sont pas remplies. Ces pièces ne sont toutefois pas de nature à renverser les constatations qui ressortent de l’expertise. En effet, les conclusions du Dr A.E.________ selon lesquelles l’intéressée ne présente pas de signes évocateurs de maladie physique ou mentale sont fondées sur un simple examen clinique de cette dernière. Or, on ne peut comparer la force probante d’un tel document avec un rapport d’expertise. Quant à l’attestation du Dr C.________ du 6 novembre 2020, la seule mention selon laquelle « l’accompagnement familial parait bienveillant, constructif et protecteur » suffit à enlever toute crédibilité à cette attestation. En effet, cette affirmation démontre que ce médecin n’a connaissance que d’une partie des faits ou de faits tronqués. Partant, ces attestations n’ont pas de force probante. Il résulte de ce qui précède que A.R.________ a particulièrement besoin d’aide et que seule une curatelle de portée générale est de nature à la protéger, notamment à l’égard de sa fille et de son petit-fils, compte tenu du confit de loyauté dans lequel elle se trouve. C’est donc à juste titre que les premiers juges ont ordonné cette mesure. 5. En conclusion, le recours de A.R.________ doit être rejeté et la décision entreprise confirmée. Le présent arrêt peut être rendu sans frais judiciaires (art. 74a al. 4 TFJC [Tarif du 28 septembre 2010 des frais judiciaires civils ; BLV 270.11.5]).</w:t>
      </w:r>
    </w:p>
    <w:p>
      <w:r>
        <w:t>- 24 - Par ces motifs, la Chambre des curatelles du Tribunal cantonal, statuant à huis clos, prononce : I. Le recours est rejeté. II. La décision est confirmée. III. L’arrêt est rendu sans frais judiciaires de deuxième instance. IV. L'arrêt est exécutoire. Le président : La greffière : Du L'arrêt qui précède, dont la rédaction a été approuvée à huis clos, est notifié à : - Mme A.R.________, - Mme X.________, assistante sociale auprès du Service des curatelles et tutelles professionnelles, - Me Jérôme Bürgisser, et communiqué à : - Mme la Juge de paix du district de l’Ouest lausannois, par l'envoi de photocopies.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