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QE14.031882 vom 29. September 2015</w:t>
      </w:r>
    </w:p>
    <w:p>
      <w:r>
        <w:t>VD Tribunal cantonal, 2015-09-29, FR</w:t>
      </w:r>
    </w:p>
    <w:p>
      <w:r>
        <w:rPr>
          <w:b/>
        </w:rPr>
        <w:t xml:space="preserve">Quelle: </w:t>
      </w:r>
      <w:r>
        <w:t>https://mcp.opencaselaw.ch/entscheid/vd_gerichte_QE14.031882</w:t>
      </w:r>
    </w:p>
    <w:p>
      <w:r>
        <w:t>FR: VD_GERICHTE QE14.031882 du 29 septembre 2015</w:t>
      </w:r>
    </w:p>
    <w:p>
      <w:r>
        <w:t>IT: VD_GERICHTE QE14.031882 del 29 settembre 2015</w:t>
      </w:r>
    </w:p>
    <w:p>
      <w:pPr>
        <w:pStyle w:val="Heading2"/>
      </w:pPr>
      <w:r>
        <w:t>Erwägungen</w:t>
      </w:r>
    </w:p>
    <w:p>
      <w:r>
        <w:rPr>
          <w:b/>
        </w:rPr>
        <w:t>E. 1</w:t>
      </w:r>
    </w:p>
    <w:p>
      <w:r>
        <w:t>La recourante s’oppose à la décision de la justice de paix dans la mesure où, parallèlement à la nomination de Q.________, de l’OCTP, en qualité de curatrice de sa fille, elle ne la désigne pas comme représentante thérapeutique de V.________.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w:t>
      </w:r>
    </w:p>
    <w:p>
      <w:r>
        <w:t>- 7 - b) En l’espèce, le recours, motivé et interjeté en temps utile par la mère de la personne concernée, soit par une proche de celle-ci, est recevable. L'autorité de protection a été consultée conformément à l'art. 450d CC. La décision est conforme aux réquisits légaux, notamment quant au fait que l’autorité de protection n’a pas procédé à l’audition de la personne concernée, cette dernière étant incapable de se déterminer sur la question d’une curatelle (cf. rapport du Dr P.________ du 20 février 2015).</w:t>
      </w:r>
    </w:p>
    <w:p>
      <w:r>
        <w:rPr>
          <w:b/>
        </w:rPr>
        <w:t>E. 2</w:t>
      </w:r>
    </w:p>
    <w:p>
      <w:r>
        <w:t>a) A priori, la recourante ne s'oppose pas à l'institution d'une curatelle de portée générale en faveur de sa fille ni à la désignation d'une curatrice de l'OCTP. Elle requiert d'être désignée comme représentante thérapeutique de sa fille, à partir du moment où, étant aide-soignante de métier, elle pourrait, selon elle, déterminer ce qui serait le mieux pour V.________ et rechercher comment elle pourrait lui apporter la meilleure qualité de vie possible. b)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w:t>
      </w:r>
    </w:p>
    <w:p>
      <w:r>
        <w:t>- 8 - Comme sous l'ancien droit,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chances de se créer que l'intéressé aura pu choisir lui-même son curateur. Cependant, la loi subordonne expressément la prise en compte de ces souhaits aux aptitudes de la personne choisie (Droit de la protection de l’adulte, Guide pratique COPMA, n. 6.21, p. 186 ; Meier/Lukic, Introduction au nouveau droit de la protection de l'adulte, 2011, n. 546, p. 249). Les « conditions requises » pour la désignation du curateur proposé par la personne concernée se réfèrent aux critères de l'art. 400 al. 1 CC. La personne pressentie pour exercer le mandat doit en particulier disposer d’aptitudes personnelles et professionnelles et avoir une disponibilité suffisante pour assumer sa tâche. Une attention particulière doit également être portée au risque de conflit d'intérêts (Reusser, Basler Kommentar, op. cit., n. 14 ad art. 401 CC, p. 2259; TF 5A_443/2008 du 14 octobre 2008 c. 3). Un tel risque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(arrêt argovien publié in RDT 1995, p. 147; CTUT 26 janvier 2012/29).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(Guide pratique COPMA, op. cit., n. 6.24, p. 187). c) La curatelle peut être confiée à plusieurs personnes. Lorsque tel est le cas, celles-ci l’exercent en commun ou selon les</w:t>
      </w:r>
    </w:p>
    <w:p>
      <w:r>
        <w:t>- 9 - attributions confiées par l’autorité de protection de l’adulte à chacune d’elles (art. 402 al. 1 CC). La répartition des tâches entre deux personnes est indiquée, notamment dans les cas où un curateur de confiance, en tant que personne privée, est particulièrement qualifié pour assurer l’accompagnement personnel, mais l’est moins pour gérer le patrimoine. Un autre cas de figure d’une telle répartition des tâches peut se présenter lorsqu’un parent s’avère qualifié pour assurer la prise en charge personnelle et disposé à assumer celle-ci, mais qu’il ne veut pas se voir confier la gestion des biens, parce qu’il redoute que d’autres membres de la parenté lui prêtent l’intention de chercher à s’enrichir (Häfeli, Commentaire du droit de la famille [CommFam], Protection de l’adulte, 2013, n. 3 ad art. 402 CC, p. 522 ; Reusser, op. cit., n. 19 ad art. 402 CC, p. 312; Guide pratique COPMA, n. 6.29 pp. 189 et 190). Une cocuratelle ne devra néanmoins être prononcée qu’avec une certaine réserve, dès lors qu’elle pourra être susceptible de créer des conflits de compétence entre les cocurateurs, la délimitation entre gestion et assistance personnelle n’étant pas toujours aisée à apporter (CCUR 24 juin 2013/166; CCUR 24 mai 2013/128). d) L'art. 378 al. 1 CC prévoit que sont habilités à représenter la personne concernée incapable de discernement et à consentir ou non aux soins médicaux que le médecin envisage de lui administrer, dans l'ordre : 2. Le curateur qui a pour tâche de la représenter dans le domaine médical, 6. ses père et mère, s'ils lui fournissent une assistance régulière. La mention "dans l'ordre" signifie un ordre de priorité (Guillod / Hertig Pea, CommFam, n. 1 ad art. 378 CC). En cas de curatelle de portée générale, le curateur détient automatiquement de par la loi un pouvoir de représentation dans le domaine médical (Guillod / Hertig Pea, op. cit., n. 14 ad art. 378 CC). e) En l'espèce, la recourante soutient qu'elle serait en droit de représenter la personne concernée qui est sa fille. Elle devrait pouvoir</w:t>
      </w:r>
    </w:p>
    <w:p>
      <w:r>
        <w:t>- 10 - consentir aux soins médicaux et agir au mieux, d'autant plus qu'elle travaille dans le domaine médical et se soucie du bien-être de celle-ci. La curatrice relève que la personne concernée a besoin d'un représen-tant thérapeutique neutre et diligent et que l’amour fusionnel que lui porte la recou-rante pourrait faire douter de l’objectivité dont elle pourrait faire preuve quant aux décisions à prendre dans le domaine médical. En outre, le corps médical serait oppo-sé à sa désignation. Si l'on ne doute pas de l'intérêt sincère et affectueux que porte la recourante à sa fille, pas plus que de son souci de trouver le meilleur traitement et le meilleur suivi médical pour elle, il n'en reste pas moins que la désignation d'un curateur indépendant et sans lien affectif avec V.________ paraît s'imposer afin de pouvoir prendre les décisions nécessaires en toute objectivité. En outre, la désignation d'un curateur dans le cadre d'une curatelle de portée générale, qui d'ailleurs ne saurait être remise en question au vu de l'état de santé de la personne concernée et de son incapacité à prendre des décisions la concernant, implique de facto qu'il puisse décider des mesures thérapeutiques, prioritairement à la mère notamment. La loi le prévoit expressément. Enfin, il est apparu que la recourante pouvait manquer de recul en raison du lien fusionnel qu'elle a avec sa fille, ce qui justifie également la désignation d'un seul curateur, indépendant et capable de prendre certaines décisions avec du recul. La décision de la justice de paix de nommer une curatrice de l’OCTP comme seule représentante, y compris sur le plan médical, de V.________, étant par conséquent justifiée, elle doit être confirmée.</w:t>
      </w:r>
    </w:p>
    <w:p>
      <w:r>
        <w:rPr>
          <w:b/>
        </w:rPr>
        <w:t>E. 3</w:t>
      </w:r>
    </w:p>
    <w:p>
      <w:r>
        <w:t>En conclusion, le recours doit être rejeté et la décision confirmée. Les frais judiciaires de deuxième instance, arrêtés à 200 fr. (art. 74a al. 1 TFJC [Tarif du 28 septembre 2010 des frais judiciaires civils,</w:t>
      </w:r>
    </w:p>
    <w:p>
      <w:r>
        <w:t>- 11 - RSV 270.11.5]), sont mis à la charge de la recourante B.________, qui succombe (art. 106 al. 1 CPC). Par ces motifs, la Chambre des curatelles du Tribunal cantonal, statuant à huis clos, prononce : I. Le recours est rejeté. II. La décision est confirmée. III. Les frais judiciaires de deuxième instance, arrêtés à 200 fr. (deux cents francs), sont mis à la charge de la recourante B.________. La présidente : La greffière : Du 29 septembre 2015 Le dispositif de l'arrêt qui précède est communiqué par écrit aux intéressés. La greffière :</w:t>
      </w:r>
    </w:p>
    <w:p>
      <w:r>
        <w:t>- 12 - Du L'arrêt qui précède, dont la rédaction a été approuvée à huis clos, est notifié à : - B.________, - V.________, - Z.________, - Q.________, assistante sociale à l’Office des curatelles et tutelles profession- nelles,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